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75" w:beforeAutospacing="0" w:after="75" w:afterAutospacing="0"/>
        <w:jc w:val="center"/>
        <w:rPr>
          <w:rFonts w:hint="eastAsia" w:ascii="宋体" w:hAnsi="宋体" w:cs="宋体"/>
          <w:b/>
          <w:bCs/>
          <w:color w:val="auto"/>
          <w:lang w:eastAsia="zh-CN"/>
        </w:rPr>
      </w:pPr>
      <w:bookmarkStart w:id="0" w:name="_GoBack"/>
      <w:r>
        <w:rPr>
          <w:rStyle w:val="9"/>
          <w:rFonts w:hint="eastAsia" w:ascii="宋体" w:hAnsi="宋体" w:cs="宋体"/>
          <w:color w:val="auto"/>
          <w:sz w:val="32"/>
          <w:szCs w:val="32"/>
          <w:lang w:val="en-US" w:eastAsia="zh-CN"/>
        </w:rPr>
        <w:t>南安市医院刨削手柄采购项目</w:t>
      </w:r>
      <w:r>
        <w:rPr>
          <w:rStyle w:val="9"/>
          <w:rFonts w:hint="eastAsia" w:ascii="宋体" w:hAnsi="宋体" w:cs="宋体"/>
          <w:color w:val="auto"/>
          <w:sz w:val="32"/>
          <w:szCs w:val="32"/>
        </w:rPr>
        <w:t>竞争性谈判采购公告</w:t>
      </w:r>
    </w:p>
    <w:p>
      <w:pPr>
        <w:pStyle w:val="4"/>
        <w:widowControl/>
        <w:spacing w:before="0" w:beforeAutospacing="0" w:after="0" w:afterAutospacing="0" w:line="440" w:lineRule="exact"/>
        <w:ind w:firstLine="480" w:firstLineChars="200"/>
        <w:rPr>
          <w:rFonts w:hint="eastAsia" w:eastAsia="宋体"/>
          <w:color w:val="auto"/>
          <w:highlight w:val="none"/>
          <w:lang w:eastAsia="zh-CN"/>
        </w:rPr>
      </w:pPr>
      <w:r>
        <w:rPr>
          <w:rFonts w:hint="eastAsia" w:ascii="宋体" w:hAnsi="宋体" w:cs="宋体"/>
          <w:color w:val="auto"/>
        </w:rPr>
        <w:t>采购人</w:t>
      </w:r>
      <w:r>
        <w:rPr>
          <w:rFonts w:hint="eastAsia" w:ascii="宋体" w:hAnsi="宋体" w:cs="宋体"/>
          <w:b/>
          <w:bCs/>
          <w:color w:val="auto"/>
          <w:spacing w:val="-6"/>
          <w:u w:val="single"/>
          <w:lang w:eastAsia="zh-CN"/>
        </w:rPr>
        <w:t>南安市医院</w:t>
      </w:r>
      <w:r>
        <w:rPr>
          <w:rFonts w:hint="eastAsia" w:ascii="宋体" w:hAnsi="宋体" w:cs="宋体"/>
          <w:color w:val="auto"/>
        </w:rPr>
        <w:t>已参照政府采购相关法律法规，经相应程序确定采用</w:t>
      </w:r>
      <w:r>
        <w:rPr>
          <w:rFonts w:hint="eastAsia" w:ascii="宋体" w:hAnsi="宋体" w:cs="宋体"/>
          <w:color w:val="auto"/>
          <w:u w:val="single"/>
        </w:rPr>
        <w:t>竞争性谈判</w:t>
      </w:r>
      <w:r>
        <w:rPr>
          <w:rFonts w:hint="eastAsia" w:ascii="宋体" w:hAnsi="宋体" w:cs="宋体"/>
          <w:color w:val="auto"/>
        </w:rPr>
        <w:t>方式组织</w:t>
      </w:r>
      <w:r>
        <w:rPr>
          <w:rFonts w:hint="eastAsia" w:ascii="宋体" w:hAnsi="宋体" w:cs="宋体"/>
          <w:b/>
          <w:bCs/>
          <w:color w:val="auto"/>
          <w:spacing w:val="-6"/>
          <w:highlight w:val="none"/>
          <w:u w:val="single"/>
          <w:lang w:val="en-US" w:eastAsia="zh-CN"/>
        </w:rPr>
        <w:t>南安市医院刨削手柄采购项目</w:t>
      </w:r>
      <w:r>
        <w:rPr>
          <w:rFonts w:hint="eastAsia" w:ascii="宋体" w:hAnsi="宋体" w:cs="宋体"/>
          <w:color w:val="auto"/>
          <w:highlight w:val="none"/>
        </w:rPr>
        <w:t>（以下简称：“本项目”）的采购活动</w:t>
      </w:r>
      <w:r>
        <w:rPr>
          <w:rFonts w:hint="eastAsia" w:ascii="宋体" w:hAnsi="宋体" w:cs="宋体"/>
          <w:color w:val="auto"/>
          <w:highlight w:val="none"/>
          <w:lang w:eastAsia="zh-CN"/>
        </w:rPr>
        <w:t>，现欢迎国内合格的供应商前来参加</w:t>
      </w:r>
      <w:r>
        <w:rPr>
          <w:rFonts w:hint="eastAsia" w:ascii="宋体" w:hAnsi="宋体" w:cs="宋体"/>
          <w:color w:val="auto"/>
          <w:highlight w:val="none"/>
        </w:rPr>
        <w:t>。本项目由采购人委托</w:t>
      </w:r>
      <w:r>
        <w:rPr>
          <w:rFonts w:hint="eastAsia" w:ascii="宋体" w:hAnsi="宋体" w:cs="宋体"/>
          <w:color w:val="auto"/>
          <w:highlight w:val="none"/>
          <w:u w:val="single"/>
          <w:lang w:eastAsia="zh-CN"/>
        </w:rPr>
        <w:t>福建省臻信达项目管理有限公司</w:t>
      </w:r>
      <w:r>
        <w:rPr>
          <w:rFonts w:hint="eastAsia" w:ascii="宋体" w:hAnsi="宋体" w:cs="宋体"/>
          <w:color w:val="auto"/>
          <w:highlight w:val="none"/>
        </w:rPr>
        <w:t>开展竞争性谈判活动</w:t>
      </w:r>
      <w:r>
        <w:rPr>
          <w:rFonts w:hint="eastAsia" w:ascii="宋体" w:hAnsi="宋体" w:cs="宋体"/>
          <w:color w:val="auto"/>
          <w:highlight w:val="none"/>
          <w:lang w:eastAsia="zh-CN"/>
        </w:rPr>
        <w:t>。</w:t>
      </w:r>
    </w:p>
    <w:p>
      <w:pPr>
        <w:pStyle w:val="4"/>
        <w:widowControl/>
        <w:numPr>
          <w:ilvl w:val="0"/>
          <w:numId w:val="1"/>
        </w:numPr>
        <w:spacing w:before="0" w:beforeAutospacing="0" w:after="0" w:afterAutospacing="0" w:line="440" w:lineRule="exact"/>
        <w:ind w:firstLine="482" w:firstLineChars="200"/>
        <w:rPr>
          <w:rFonts w:hint="eastAsia" w:ascii="宋体" w:hAnsi="宋体" w:cs="宋体"/>
          <w:color w:val="auto"/>
          <w:highlight w:val="none"/>
          <w:lang w:eastAsia="zh-CN"/>
        </w:rPr>
      </w:pPr>
      <w:r>
        <w:rPr>
          <w:rFonts w:hint="eastAsia" w:ascii="宋体" w:hAnsi="宋体" w:cs="宋体"/>
          <w:b/>
          <w:bCs/>
          <w:color w:val="auto"/>
          <w:highlight w:val="none"/>
          <w:shd w:val="clear" w:color="auto" w:fill="FFFFFF"/>
        </w:rPr>
        <w:t>项目名称：</w:t>
      </w:r>
      <w:r>
        <w:rPr>
          <w:rFonts w:hint="eastAsia" w:ascii="宋体" w:hAnsi="宋体" w:cs="宋体"/>
          <w:color w:val="auto"/>
          <w:highlight w:val="none"/>
          <w:lang w:val="en-US" w:eastAsia="zh-CN"/>
        </w:rPr>
        <w:t>南安市医院刨削手柄采购项目</w:t>
      </w:r>
    </w:p>
    <w:p>
      <w:pPr>
        <w:pStyle w:val="4"/>
        <w:widowControl/>
        <w:numPr>
          <w:ilvl w:val="0"/>
          <w:numId w:val="1"/>
        </w:numPr>
        <w:spacing w:before="0" w:beforeAutospacing="0" w:after="0" w:afterAutospacing="0" w:line="440" w:lineRule="exact"/>
        <w:ind w:firstLine="482" w:firstLineChars="200"/>
        <w:rPr>
          <w:rFonts w:hint="eastAsia" w:ascii="宋体" w:hAnsi="宋体" w:cs="宋体"/>
          <w:color w:val="auto"/>
          <w:highlight w:val="none"/>
          <w:lang w:eastAsia="zh-CN"/>
        </w:rPr>
      </w:pPr>
      <w:r>
        <w:rPr>
          <w:rFonts w:hint="eastAsia" w:ascii="宋体" w:hAnsi="宋体" w:cs="宋体"/>
          <w:b/>
          <w:bCs/>
          <w:color w:val="auto"/>
          <w:highlight w:val="none"/>
          <w:shd w:val="clear" w:color="auto" w:fill="FFFFFF"/>
        </w:rPr>
        <w:t>项目编号：</w:t>
      </w:r>
      <w:r>
        <w:rPr>
          <w:rFonts w:hint="eastAsia" w:ascii="宋体" w:hAnsi="宋体" w:cs="宋体"/>
          <w:color w:val="auto"/>
          <w:highlight w:val="none"/>
          <w:lang w:eastAsia="zh-CN"/>
        </w:rPr>
        <w:t>FJSZXD-QZ20251006</w:t>
      </w:r>
    </w:p>
    <w:p>
      <w:pPr>
        <w:pStyle w:val="4"/>
        <w:widowControl/>
        <w:numPr>
          <w:ilvl w:val="0"/>
          <w:numId w:val="1"/>
        </w:numPr>
        <w:spacing w:before="0" w:beforeAutospacing="0" w:after="0" w:afterAutospacing="0" w:line="440" w:lineRule="exact"/>
        <w:ind w:firstLine="480" w:firstLineChars="200"/>
        <w:rPr>
          <w:rFonts w:hint="eastAsia" w:ascii="宋体" w:hAnsi="宋体" w:cs="宋体"/>
          <w:color w:val="auto"/>
          <w:highlight w:val="none"/>
          <w:lang w:eastAsia="zh-CN"/>
        </w:rPr>
      </w:pPr>
      <w:r>
        <w:rPr>
          <w:rFonts w:hint="eastAsia" w:ascii="宋体" w:hAnsi="宋体" w:cs="宋体"/>
          <w:color w:val="auto"/>
          <w:highlight w:val="none"/>
          <w:lang w:eastAsia="zh-CN"/>
        </w:rPr>
        <w:t>采购内容及要求：</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2307"/>
        <w:gridCol w:w="1849"/>
        <w:gridCol w:w="925"/>
        <w:gridCol w:w="969"/>
        <w:gridCol w:w="886"/>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5"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color w:val="auto"/>
                <w:highlight w:val="none"/>
                <w:vertAlign w:val="baseline"/>
              </w:rPr>
            </w:pPr>
            <w:r>
              <w:rPr>
                <w:rFonts w:hint="eastAsia" w:ascii="宋体" w:hAnsi="宋体" w:eastAsia="宋体" w:cs="宋体"/>
                <w:color w:val="auto"/>
                <w:sz w:val="24"/>
                <w:szCs w:val="24"/>
                <w:highlight w:val="none"/>
              </w:rPr>
              <w:t>序号</w:t>
            </w:r>
          </w:p>
        </w:tc>
        <w:tc>
          <w:tcPr>
            <w:tcW w:w="1354"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color w:val="auto"/>
                <w:highlight w:val="none"/>
                <w:vertAlign w:val="baseline"/>
              </w:rPr>
            </w:pPr>
            <w:r>
              <w:rPr>
                <w:rFonts w:hint="eastAsia" w:ascii="宋体" w:hAnsi="宋体" w:eastAsia="宋体" w:cs="宋体"/>
                <w:color w:val="auto"/>
                <w:sz w:val="24"/>
                <w:szCs w:val="24"/>
                <w:highlight w:val="none"/>
              </w:rPr>
              <w:t>标的名称</w:t>
            </w:r>
          </w:p>
        </w:tc>
        <w:tc>
          <w:tcPr>
            <w:tcW w:w="1085"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color w:val="auto"/>
                <w:highlight w:val="none"/>
                <w:vertAlign w:val="baseline"/>
              </w:rPr>
            </w:pPr>
            <w:r>
              <w:rPr>
                <w:rFonts w:hint="eastAsia" w:ascii="宋体" w:hAnsi="宋体" w:eastAsia="宋体" w:cs="宋体"/>
                <w:color w:val="auto"/>
                <w:sz w:val="24"/>
                <w:szCs w:val="24"/>
                <w:highlight w:val="none"/>
              </w:rPr>
              <w:t>标的金额 （元）</w:t>
            </w:r>
          </w:p>
        </w:tc>
        <w:tc>
          <w:tcPr>
            <w:tcW w:w="543"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color w:val="auto"/>
                <w:highlight w:val="none"/>
                <w:vertAlign w:val="baseline"/>
              </w:rPr>
            </w:pPr>
            <w:r>
              <w:rPr>
                <w:rFonts w:hint="eastAsia" w:ascii="宋体" w:hAnsi="宋体" w:eastAsia="宋体" w:cs="宋体"/>
                <w:color w:val="auto"/>
                <w:sz w:val="24"/>
                <w:szCs w:val="24"/>
                <w:highlight w:val="none"/>
              </w:rPr>
              <w:t>数量</w:t>
            </w:r>
          </w:p>
        </w:tc>
        <w:tc>
          <w:tcPr>
            <w:tcW w:w="569"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color w:val="auto"/>
                <w:highlight w:val="none"/>
                <w:vertAlign w:val="baseline"/>
              </w:rPr>
            </w:pPr>
            <w:r>
              <w:rPr>
                <w:rFonts w:hint="eastAsia" w:ascii="宋体" w:hAnsi="宋体" w:eastAsia="宋体" w:cs="宋体"/>
                <w:color w:val="auto"/>
                <w:sz w:val="24"/>
                <w:szCs w:val="24"/>
                <w:highlight w:val="none"/>
              </w:rPr>
              <w:t>单位</w:t>
            </w:r>
          </w:p>
        </w:tc>
        <w:tc>
          <w:tcPr>
            <w:tcW w:w="520"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default" w:eastAsia="宋体"/>
                <w:color w:val="auto"/>
                <w:highlight w:val="none"/>
                <w:vertAlign w:val="baseline"/>
                <w:lang w:val="en-US" w:eastAsia="zh-CN"/>
              </w:rPr>
            </w:pPr>
            <w:r>
              <w:rPr>
                <w:rFonts w:hint="eastAsia" w:ascii="宋体" w:hAnsi="宋体" w:eastAsia="宋体" w:cs="宋体"/>
                <w:color w:val="auto"/>
                <w:sz w:val="24"/>
                <w:szCs w:val="24"/>
                <w:highlight w:val="none"/>
                <w:lang w:val="en-US" w:eastAsia="zh-CN"/>
              </w:rPr>
              <w:t>允许进口</w:t>
            </w:r>
          </w:p>
        </w:tc>
        <w:tc>
          <w:tcPr>
            <w:tcW w:w="1025" w:type="dxa"/>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所属行业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5"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color w:val="auto"/>
                <w:highlight w:val="none"/>
                <w:vertAlign w:val="baseline"/>
              </w:rPr>
            </w:pPr>
            <w:r>
              <w:rPr>
                <w:rFonts w:hint="eastAsia" w:ascii="宋体" w:hAnsi="宋体" w:eastAsia="宋体" w:cs="宋体"/>
                <w:color w:val="auto"/>
                <w:sz w:val="24"/>
                <w:szCs w:val="24"/>
                <w:highlight w:val="none"/>
              </w:rPr>
              <w:t>1</w:t>
            </w:r>
          </w:p>
        </w:tc>
        <w:tc>
          <w:tcPr>
            <w:tcW w:w="1354"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color w:val="auto"/>
                <w:sz w:val="24"/>
                <w:szCs w:val="24"/>
                <w:highlight w:val="none"/>
                <w:vertAlign w:val="baseline"/>
              </w:rPr>
            </w:pPr>
            <w:r>
              <w:rPr>
                <w:rFonts w:hint="eastAsia"/>
                <w:color w:val="auto"/>
                <w:sz w:val="24"/>
                <w:szCs w:val="24"/>
                <w:highlight w:val="none"/>
                <w:vertAlign w:val="baseline"/>
                <w:lang w:val="en-US" w:eastAsia="zh-CN"/>
              </w:rPr>
              <w:t>南安市医院刨削手柄采购项目</w:t>
            </w:r>
          </w:p>
        </w:tc>
        <w:tc>
          <w:tcPr>
            <w:tcW w:w="1085"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default" w:eastAsia="宋体"/>
                <w:color w:val="auto"/>
                <w:sz w:val="24"/>
                <w:szCs w:val="24"/>
                <w:highlight w:val="none"/>
                <w:vertAlign w:val="baseline"/>
                <w:lang w:val="en-US" w:eastAsia="zh-CN"/>
              </w:rPr>
            </w:pPr>
            <w:r>
              <w:rPr>
                <w:rFonts w:hint="eastAsia" w:eastAsia="宋体"/>
                <w:color w:val="auto"/>
                <w:sz w:val="24"/>
                <w:szCs w:val="24"/>
                <w:highlight w:val="none"/>
                <w:vertAlign w:val="baseline"/>
                <w:lang w:val="en-US" w:eastAsia="zh-CN"/>
              </w:rPr>
              <w:t>210000.00</w:t>
            </w:r>
          </w:p>
        </w:tc>
        <w:tc>
          <w:tcPr>
            <w:tcW w:w="543"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color w:val="auto"/>
                <w:sz w:val="24"/>
                <w:szCs w:val="24"/>
                <w:highlight w:val="none"/>
                <w:vertAlign w:val="baseline"/>
              </w:rPr>
            </w:pPr>
            <w:r>
              <w:rPr>
                <w:rFonts w:hint="eastAsia" w:ascii="宋体" w:hAnsi="宋体" w:eastAsia="宋体" w:cs="宋体"/>
                <w:color w:val="auto"/>
                <w:sz w:val="24"/>
                <w:szCs w:val="24"/>
                <w:highlight w:val="none"/>
                <w:lang w:eastAsia="zh-CN"/>
              </w:rPr>
              <w:t>1</w:t>
            </w:r>
          </w:p>
        </w:tc>
        <w:tc>
          <w:tcPr>
            <w:tcW w:w="569"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eastAsia="宋体"/>
                <w:color w:val="auto"/>
                <w:sz w:val="24"/>
                <w:szCs w:val="24"/>
                <w:highlight w:val="none"/>
                <w:vertAlign w:val="baseline"/>
                <w:lang w:eastAsia="zh-CN"/>
              </w:rPr>
            </w:pPr>
            <w:r>
              <w:rPr>
                <w:rFonts w:hint="eastAsia"/>
                <w:color w:val="auto"/>
                <w:sz w:val="24"/>
                <w:szCs w:val="24"/>
                <w:highlight w:val="none"/>
                <w:vertAlign w:val="baseline"/>
                <w:lang w:val="en-US" w:eastAsia="zh-CN"/>
              </w:rPr>
              <w:t>项</w:t>
            </w:r>
          </w:p>
        </w:tc>
        <w:tc>
          <w:tcPr>
            <w:tcW w:w="520" w:type="pct"/>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eastAsia="宋体"/>
                <w:color w:val="auto"/>
                <w:sz w:val="24"/>
                <w:szCs w:val="24"/>
                <w:highlight w:val="none"/>
                <w:vertAlign w:val="baseline"/>
                <w:lang w:eastAsia="zh-CN"/>
              </w:rPr>
            </w:pPr>
            <w:r>
              <w:rPr>
                <w:rFonts w:hint="eastAsia"/>
                <w:color w:val="auto"/>
                <w:sz w:val="24"/>
                <w:szCs w:val="24"/>
                <w:highlight w:val="none"/>
                <w:vertAlign w:val="baseline"/>
                <w:lang w:val="en-US" w:eastAsia="zh-CN"/>
              </w:rPr>
              <w:t>是</w:t>
            </w:r>
          </w:p>
        </w:tc>
        <w:tc>
          <w:tcPr>
            <w:tcW w:w="1025" w:type="dxa"/>
            <w:noWrap w:val="0"/>
            <w:vAlign w:val="center"/>
          </w:tcPr>
          <w:p>
            <w:pPr>
              <w:pStyle w:val="10"/>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工业</w:t>
            </w:r>
          </w:p>
        </w:tc>
      </w:tr>
    </w:tbl>
    <w:p>
      <w:pPr>
        <w:pStyle w:val="4"/>
        <w:widowControl/>
        <w:spacing w:before="0" w:beforeAutospacing="0" w:after="0" w:afterAutospacing="0" w:line="440" w:lineRule="exact"/>
        <w:ind w:firstLine="482" w:firstLineChars="200"/>
        <w:rPr>
          <w:rFonts w:hint="eastAsia" w:ascii="宋体" w:hAnsi="宋体" w:cs="宋体"/>
          <w:b/>
          <w:bCs/>
          <w:color w:val="auto"/>
          <w:shd w:val="clear" w:color="auto" w:fill="FFFFFF"/>
        </w:rPr>
      </w:pPr>
      <w:r>
        <w:rPr>
          <w:rFonts w:hint="eastAsia" w:ascii="宋体" w:hAnsi="宋体" w:cs="宋体"/>
          <w:b/>
          <w:bCs/>
          <w:color w:val="auto"/>
          <w:shd w:val="clear" w:color="auto" w:fill="FFFFFF"/>
        </w:rPr>
        <w:t>四、采购项目需要落实的政府采购政策：</w:t>
      </w:r>
    </w:p>
    <w:p>
      <w:pPr>
        <w:spacing w:line="360" w:lineRule="auto"/>
        <w:ind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rPr>
        <w:t>进口产品：适用于本项目</w:t>
      </w:r>
    </w:p>
    <w:p>
      <w:pPr>
        <w:spacing w:line="360" w:lineRule="auto"/>
        <w:ind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rPr>
        <w:t>节能产品：按照《关于调整优化节能产品、环境标志产品政府采购执行机制的通知》财库〔2019〕9号、《市场监管总局关于发布参与实施政府采购节能产品、环境标志产品认证机构名录的公告》（2019年第16号）等规定执行</w:t>
      </w:r>
    </w:p>
    <w:p>
      <w:pPr>
        <w:spacing w:line="360" w:lineRule="auto"/>
        <w:ind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rPr>
        <w:t>环境标志产品：按照《关于调整优化节能产品、环境标志产品政府采购执行机制的通知》财库〔2019〕9号、《市场监管总局关于发布参与实施政府采购节能产品、环境标志产品认证机构名录的公告》（2019年第16号）等规定执行</w:t>
      </w:r>
    </w:p>
    <w:p>
      <w:pPr>
        <w:spacing w:line="360" w:lineRule="auto"/>
        <w:ind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rPr>
        <w:t>信用记录：适用于本项目，按照下列规定执行：（1）供应商可在提交响应文件截止时间前分别通过“信用中国”网站（www.creditchina.gov.cn）、中国政府采购网（www.ccgp.gov.cn）查询并打印相应的信用记录（以下简称：“供应商提供的查询结果”），供应商提供的查询结果应为其通过上述网站获取的信用信息查询结果原始页面的打印件（或截图）。（2）查询结果的审查：①由</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小组通过上述网站查询并打印供应商信用记录（以下简称：“</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小组的查询结果”）。②供应商提供的查询结果与</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小组的查询结果不一致的，以</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小组的查询结果为准。③因上述网站原因导致</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小组无法查询供应商信用记录的（</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小组应将通过上述网站查询供应商信用记录时的原始页面打印后随采购文件一并存档），以供应商提供的查询结果为准。④查询结果存在供应商应被拒绝参与政府采购活动相关信息的，其资格审查不合格。</w:t>
      </w:r>
    </w:p>
    <w:p>
      <w:pPr>
        <w:pStyle w:val="10"/>
        <w:spacing w:line="360" w:lineRule="auto"/>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促进中小企业发展的相关政策：</w:t>
      </w:r>
      <w:r>
        <w:rPr>
          <w:rFonts w:hint="eastAsia" w:ascii="宋体" w:hAnsi="宋体" w:eastAsia="宋体" w:cs="宋体"/>
          <w:color w:val="auto"/>
          <w:sz w:val="24"/>
          <w:szCs w:val="24"/>
          <w:highlight w:val="none"/>
          <w:lang w:val="en-US" w:eastAsia="zh-CN"/>
        </w:rPr>
        <w:t>不</w:t>
      </w:r>
      <w:r>
        <w:rPr>
          <w:rFonts w:hint="eastAsia" w:ascii="宋体" w:hAnsi="宋体" w:eastAsia="宋体" w:cs="宋体"/>
          <w:color w:val="auto"/>
          <w:sz w:val="24"/>
          <w:szCs w:val="24"/>
          <w:highlight w:val="none"/>
        </w:rPr>
        <w:t>专门面向中小企业</w:t>
      </w:r>
    </w:p>
    <w:p>
      <w:pPr>
        <w:pStyle w:val="4"/>
        <w:widowControl/>
        <w:spacing w:before="0" w:beforeAutospacing="0" w:after="0" w:afterAutospacing="0" w:line="440" w:lineRule="exact"/>
        <w:ind w:firstLine="482" w:firstLineChars="200"/>
        <w:rPr>
          <w:rFonts w:hint="eastAsia" w:ascii="宋体" w:hAnsi="宋体" w:cs="宋体"/>
          <w:b/>
          <w:bCs/>
          <w:color w:val="auto"/>
        </w:rPr>
      </w:pPr>
      <w:r>
        <w:rPr>
          <w:rFonts w:hint="eastAsia" w:ascii="宋体" w:hAnsi="宋体" w:cs="宋体"/>
          <w:b/>
          <w:bCs/>
          <w:color w:val="auto"/>
        </w:rPr>
        <w:t>五、供应商的资格要求</w:t>
      </w:r>
    </w:p>
    <w:p>
      <w:pPr>
        <w:pStyle w:val="4"/>
        <w:widowControl/>
        <w:spacing w:before="0" w:beforeAutospacing="0" w:after="0" w:afterAutospacing="0" w:line="440" w:lineRule="exact"/>
        <w:ind w:firstLine="480" w:firstLineChars="200"/>
        <w:rPr>
          <w:rFonts w:hint="eastAsia" w:ascii="宋体" w:hAnsi="宋体" w:cs="宋体"/>
          <w:color w:val="auto"/>
        </w:rPr>
      </w:pPr>
      <w:r>
        <w:rPr>
          <w:rFonts w:hint="eastAsia" w:ascii="宋体" w:hAnsi="宋体" w:cs="宋体"/>
          <w:color w:val="auto"/>
          <w:shd w:val="clear" w:color="auto" w:fill="FFFFFF"/>
        </w:rPr>
        <w:t>（一）法定条件：符合《中华人民共和国政府采购法》第二十二条第一款规定的条件。</w:t>
      </w:r>
    </w:p>
    <w:p>
      <w:pPr>
        <w:pStyle w:val="4"/>
        <w:widowControl/>
        <w:spacing w:before="0" w:beforeAutospacing="0" w:after="0" w:afterAutospacing="0" w:line="440" w:lineRule="exact"/>
        <w:ind w:firstLine="480" w:firstLineChars="200"/>
        <w:rPr>
          <w:rFonts w:hint="eastAsia" w:ascii="宋体" w:hAnsi="宋体" w:cs="宋体"/>
          <w:color w:val="auto"/>
          <w:shd w:val="clear" w:color="auto" w:fill="FFFFFF"/>
          <w:vertAlign w:val="baseline"/>
        </w:rPr>
      </w:pPr>
      <w:r>
        <w:rPr>
          <w:rFonts w:hint="eastAsia" w:ascii="宋体" w:hAnsi="宋体" w:cs="宋体"/>
          <w:color w:val="auto"/>
          <w:shd w:val="clear" w:color="auto" w:fill="FFFFFF"/>
        </w:rPr>
        <w:t>（二）特定条件：</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52"/>
        <w:gridCol w:w="5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9" w:type="dxa"/>
            <w:noWrap w:val="0"/>
            <w:vAlign w:val="center"/>
          </w:tcPr>
          <w:p>
            <w:pPr>
              <w:pStyle w:val="1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auto"/>
                <w:shd w:val="clear" w:color="auto" w:fill="FFFFFF"/>
                <w:vertAlign w:val="baseline"/>
              </w:rPr>
            </w:pPr>
            <w:r>
              <w:rPr>
                <w:rFonts w:hint="eastAsia" w:ascii="宋体" w:hAnsi="宋体" w:eastAsia="宋体" w:cs="宋体"/>
                <w:color w:val="auto"/>
                <w:sz w:val="24"/>
                <w:szCs w:val="24"/>
                <w:highlight w:val="none"/>
              </w:rPr>
              <w:t>资格审查要求概况</w:t>
            </w:r>
          </w:p>
        </w:tc>
        <w:tc>
          <w:tcPr>
            <w:tcW w:w="6205" w:type="dxa"/>
            <w:noWrap w:val="0"/>
            <w:vAlign w:val="top"/>
          </w:tcPr>
          <w:p>
            <w:pPr>
              <w:pStyle w:val="1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auto"/>
                <w:shd w:val="clear" w:color="auto" w:fill="FFFFFF"/>
                <w:vertAlign w:val="baseline"/>
              </w:rPr>
            </w:pPr>
            <w:r>
              <w:rPr>
                <w:rFonts w:hint="eastAsia" w:ascii="宋体" w:hAnsi="宋体" w:eastAsia="宋体" w:cs="宋体"/>
                <w:color w:val="auto"/>
                <w:sz w:val="24"/>
                <w:szCs w:val="24"/>
                <w:highlight w:val="none"/>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9" w:type="dxa"/>
            <w:noWrap w:val="0"/>
            <w:vAlign w:val="center"/>
          </w:tcPr>
          <w:p>
            <w:pPr>
              <w:widowControl/>
              <w:jc w:val="left"/>
              <w:rPr>
                <w:rFonts w:hint="eastAsia" w:ascii="宋体" w:hAnsi="宋体" w:cs="宋体"/>
                <w:color w:val="auto"/>
                <w:kern w:val="0"/>
                <w:sz w:val="24"/>
                <w:lang w:bidi="ar"/>
              </w:rPr>
            </w:pPr>
            <w:r>
              <w:rPr>
                <w:rFonts w:hint="eastAsia" w:ascii="宋体" w:hAnsi="宋体" w:eastAsia="宋体" w:cs="宋体"/>
                <w:color w:val="auto"/>
                <w:spacing w:val="0"/>
                <w:position w:val="0"/>
                <w:sz w:val="24"/>
                <w:szCs w:val="24"/>
                <w:highlight w:val="none"/>
                <w:u w:val="none"/>
              </w:rPr>
              <w:t>资格承诺函</w:t>
            </w:r>
          </w:p>
        </w:tc>
        <w:tc>
          <w:tcPr>
            <w:tcW w:w="6205" w:type="dxa"/>
            <w:noWrap w:val="0"/>
            <w:vAlign w:val="center"/>
          </w:tcPr>
          <w:p>
            <w:pPr>
              <w:spacing w:before="0" w:after="0" w:line="335" w:lineRule="exact"/>
              <w:ind w:left="22" w:leftChars="0"/>
              <w:jc w:val="left"/>
              <w:rPr>
                <w:rFonts w:hint="eastAsia" w:ascii="宋体" w:hAnsi="宋体" w:cs="宋体"/>
                <w:color w:val="auto"/>
                <w:shd w:val="clear" w:color="auto" w:fill="FFFFFF"/>
                <w:vertAlign w:val="baseline"/>
              </w:rPr>
            </w:pPr>
            <w:r>
              <w:rPr>
                <w:rFonts w:hint="eastAsia" w:ascii="宋体" w:hAnsi="宋体" w:eastAsia="宋体" w:cs="宋体"/>
                <w:color w:val="auto"/>
                <w:spacing w:val="0"/>
                <w:position w:val="0"/>
                <w:sz w:val="24"/>
                <w:szCs w:val="24"/>
                <w:highlight w:val="none"/>
                <w:u w:val="none"/>
              </w:rPr>
              <w:t>采用资格承诺制的供应商，须根据投标(响应)格式文件要求提供资格承诺函，否则，视为未按照招标文件规定提交投标人的资格及资信文件，按资格审查不合格处理。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9" w:type="dxa"/>
            <w:noWrap w:val="0"/>
            <w:vAlign w:val="center"/>
          </w:tcPr>
          <w:p>
            <w:pPr>
              <w:widowControl/>
              <w:jc w:val="left"/>
              <w:rPr>
                <w:rFonts w:hint="eastAsia" w:ascii="宋体" w:hAnsi="宋体" w:eastAsia="宋体" w:cs="宋体"/>
                <w:color w:val="auto"/>
                <w:spacing w:val="0"/>
                <w:position w:val="0"/>
                <w:sz w:val="24"/>
                <w:szCs w:val="24"/>
                <w:highlight w:val="none"/>
                <w:u w:val="none"/>
              </w:rPr>
            </w:pPr>
            <w:r>
              <w:rPr>
                <w:rFonts w:hint="eastAsia" w:ascii="宋体" w:hAnsi="宋体" w:eastAsia="宋体" w:cs="宋体"/>
                <w:color w:val="auto"/>
                <w:spacing w:val="0"/>
                <w:position w:val="0"/>
                <w:sz w:val="24"/>
                <w:szCs w:val="24"/>
                <w:highlight w:val="none"/>
                <w:u w:val="none"/>
              </w:rPr>
              <w:t>特定</w:t>
            </w:r>
            <w:r>
              <w:rPr>
                <w:rFonts w:hint="eastAsia" w:ascii="宋体" w:hAnsi="宋体" w:eastAsia="宋体" w:cs="宋体"/>
                <w:color w:val="auto"/>
                <w:spacing w:val="0"/>
                <w:position w:val="0"/>
                <w:sz w:val="24"/>
                <w:szCs w:val="24"/>
                <w:highlight w:val="none"/>
                <w:u w:val="none"/>
                <w:lang w:val="en-US" w:eastAsia="zh-CN"/>
              </w:rPr>
              <w:t>资格</w:t>
            </w:r>
            <w:r>
              <w:rPr>
                <w:rFonts w:hint="eastAsia" w:ascii="宋体" w:hAnsi="宋体" w:eastAsia="宋体" w:cs="宋体"/>
                <w:color w:val="auto"/>
                <w:spacing w:val="0"/>
                <w:position w:val="0"/>
                <w:sz w:val="24"/>
                <w:szCs w:val="24"/>
                <w:highlight w:val="none"/>
                <w:u w:val="none"/>
              </w:rPr>
              <w:t>条件</w:t>
            </w:r>
          </w:p>
        </w:tc>
        <w:tc>
          <w:tcPr>
            <w:tcW w:w="6205" w:type="dxa"/>
            <w:noWrap w:val="0"/>
            <w:vAlign w:val="center"/>
          </w:tcPr>
          <w:p>
            <w:pPr>
              <w:spacing w:before="0" w:after="0" w:line="335" w:lineRule="exact"/>
              <w:ind w:left="22" w:leftChars="0"/>
              <w:jc w:val="left"/>
              <w:rPr>
                <w:rFonts w:hint="eastAsia" w:ascii="宋体" w:hAnsi="宋体" w:eastAsia="宋体" w:cs="宋体"/>
                <w:color w:val="auto"/>
                <w:spacing w:val="0"/>
                <w:position w:val="0"/>
                <w:sz w:val="24"/>
                <w:szCs w:val="24"/>
                <w:highlight w:val="none"/>
                <w:u w:val="none"/>
              </w:rPr>
            </w:pPr>
            <w:r>
              <w:rPr>
                <w:rFonts w:hint="eastAsia" w:ascii="宋体" w:hAnsi="宋体" w:eastAsia="宋体" w:cs="宋体"/>
                <w:color w:val="auto"/>
                <w:spacing w:val="0"/>
                <w:position w:val="0"/>
                <w:sz w:val="24"/>
                <w:szCs w:val="24"/>
                <w:highlight w:val="none"/>
                <w:u w:val="none"/>
              </w:rPr>
              <w:t>①投标人为生产企业的，从事第一类医疗器械生产的，</w:t>
            </w:r>
            <w:r>
              <w:rPr>
                <w:rFonts w:hint="eastAsia" w:ascii="宋体" w:hAnsi="宋体" w:eastAsia="宋体" w:cs="宋体"/>
                <w:color w:val="auto"/>
                <w:spacing w:val="0"/>
                <w:position w:val="0"/>
                <w:sz w:val="24"/>
                <w:szCs w:val="24"/>
                <w:highlight w:val="none"/>
                <w:u w:val="none"/>
              </w:rPr>
              <w:t>应</w:t>
            </w:r>
            <w:r>
              <w:rPr>
                <w:rFonts w:hint="eastAsia" w:ascii="宋体" w:hAnsi="宋体" w:cs="宋体"/>
                <w:color w:val="auto"/>
                <w:spacing w:val="0"/>
                <w:position w:val="0"/>
                <w:sz w:val="24"/>
                <w:szCs w:val="24"/>
                <w:highlight w:val="none"/>
                <w:u w:val="none"/>
                <w:lang w:val="en-US" w:eastAsia="zh-CN"/>
              </w:rPr>
              <w:t>提供</w:t>
            </w:r>
            <w:r>
              <w:rPr>
                <w:rFonts w:hint="eastAsia" w:ascii="宋体" w:hAnsi="宋体" w:eastAsia="宋体" w:cs="宋体"/>
                <w:color w:val="auto"/>
                <w:spacing w:val="0"/>
                <w:position w:val="0"/>
                <w:sz w:val="24"/>
                <w:szCs w:val="24"/>
                <w:highlight w:val="none"/>
                <w:u w:val="none"/>
              </w:rPr>
              <w:t>《第一类医疗器械生产备案凭证》；</w:t>
            </w:r>
            <w:r>
              <w:rPr>
                <w:rFonts w:hint="eastAsia" w:ascii="宋体" w:hAnsi="宋体" w:eastAsia="宋体" w:cs="宋体"/>
                <w:color w:val="auto"/>
                <w:spacing w:val="0"/>
                <w:position w:val="0"/>
                <w:sz w:val="24"/>
                <w:szCs w:val="24"/>
                <w:highlight w:val="none"/>
                <w:u w:val="none"/>
              </w:rPr>
              <w:t>从事第二类、第三类医疗器械生产的，</w:t>
            </w:r>
            <w:r>
              <w:rPr>
                <w:rFonts w:hint="eastAsia" w:ascii="宋体" w:hAnsi="宋体" w:eastAsia="宋体" w:cs="宋体"/>
                <w:color w:val="auto"/>
                <w:spacing w:val="0"/>
                <w:position w:val="0"/>
                <w:sz w:val="24"/>
                <w:szCs w:val="24"/>
                <w:highlight w:val="none"/>
                <w:u w:val="none"/>
              </w:rPr>
              <w:t>应</w:t>
            </w:r>
            <w:r>
              <w:rPr>
                <w:rFonts w:hint="eastAsia" w:ascii="宋体" w:hAnsi="宋体" w:cs="宋体"/>
                <w:color w:val="auto"/>
                <w:spacing w:val="0"/>
                <w:position w:val="0"/>
                <w:sz w:val="24"/>
                <w:szCs w:val="24"/>
                <w:highlight w:val="none"/>
                <w:u w:val="none"/>
                <w:lang w:val="en-US" w:eastAsia="zh-CN"/>
              </w:rPr>
              <w:t>提供</w:t>
            </w:r>
            <w:r>
              <w:rPr>
                <w:rFonts w:hint="eastAsia" w:ascii="宋体" w:hAnsi="宋体" w:eastAsia="宋体" w:cs="宋体"/>
                <w:color w:val="auto"/>
                <w:spacing w:val="0"/>
                <w:position w:val="0"/>
                <w:sz w:val="24"/>
                <w:szCs w:val="24"/>
                <w:highlight w:val="none"/>
                <w:u w:val="none"/>
              </w:rPr>
              <w:t>《医疗器械生产许可证》</w:t>
            </w:r>
            <w:r>
              <w:rPr>
                <w:rFonts w:hint="eastAsia" w:ascii="宋体" w:hAnsi="宋体" w:eastAsia="宋体" w:cs="宋体"/>
                <w:color w:val="auto"/>
                <w:spacing w:val="0"/>
                <w:position w:val="0"/>
                <w:sz w:val="24"/>
                <w:szCs w:val="24"/>
                <w:highlight w:val="none"/>
                <w:u w:val="none"/>
              </w:rPr>
              <w:t>或在有效期内的《医疗器械生产企业许可证》。 ②投标人为经营企业的，从事第二类医疗器械经营的，应</w:t>
            </w:r>
            <w:r>
              <w:rPr>
                <w:rFonts w:hint="eastAsia" w:ascii="宋体" w:hAnsi="宋体" w:cs="宋体"/>
                <w:color w:val="auto"/>
                <w:spacing w:val="0"/>
                <w:position w:val="0"/>
                <w:sz w:val="24"/>
                <w:szCs w:val="24"/>
                <w:highlight w:val="none"/>
                <w:u w:val="none"/>
                <w:lang w:val="en-US" w:eastAsia="zh-CN"/>
              </w:rPr>
              <w:t>提供</w:t>
            </w:r>
            <w:r>
              <w:rPr>
                <w:rFonts w:hint="eastAsia" w:ascii="宋体" w:hAnsi="宋体" w:eastAsia="宋体" w:cs="宋体"/>
                <w:color w:val="auto"/>
                <w:spacing w:val="0"/>
                <w:position w:val="0"/>
                <w:sz w:val="24"/>
                <w:szCs w:val="24"/>
                <w:highlight w:val="none"/>
                <w:u w:val="none"/>
              </w:rPr>
              <w:t>《第二类医疗器械经营备案凭证》或有效期内的《医疗器械经营企业许可证》；从事第三类医疗器械经营的，应</w:t>
            </w:r>
            <w:r>
              <w:rPr>
                <w:rFonts w:hint="eastAsia" w:ascii="宋体" w:hAnsi="宋体" w:cs="宋体"/>
                <w:color w:val="auto"/>
                <w:spacing w:val="0"/>
                <w:position w:val="0"/>
                <w:sz w:val="24"/>
                <w:szCs w:val="24"/>
                <w:highlight w:val="none"/>
                <w:u w:val="none"/>
                <w:lang w:val="en-US" w:eastAsia="zh-CN"/>
              </w:rPr>
              <w:t>提供</w:t>
            </w:r>
            <w:r>
              <w:rPr>
                <w:rFonts w:hint="eastAsia" w:ascii="宋体" w:hAnsi="宋体" w:eastAsia="宋体" w:cs="宋体"/>
                <w:color w:val="auto"/>
                <w:spacing w:val="0"/>
                <w:position w:val="0"/>
                <w:sz w:val="24"/>
                <w:szCs w:val="24"/>
                <w:highlight w:val="none"/>
                <w:u w:val="none"/>
              </w:rPr>
              <w:t>《医疗器械经营许可证》或有效期内的《医疗器械经营企业许可证》。 ③投标货物若属于中国医疗器械注册管理范围内的，则应</w:t>
            </w:r>
            <w:r>
              <w:rPr>
                <w:rFonts w:hint="eastAsia" w:ascii="宋体" w:hAnsi="宋体" w:cs="宋体"/>
                <w:color w:val="auto"/>
                <w:spacing w:val="0"/>
                <w:position w:val="0"/>
                <w:sz w:val="24"/>
                <w:szCs w:val="24"/>
                <w:highlight w:val="none"/>
                <w:u w:val="none"/>
                <w:lang w:val="en-US" w:eastAsia="zh-CN"/>
              </w:rPr>
              <w:t>提供</w:t>
            </w:r>
            <w:r>
              <w:rPr>
                <w:rFonts w:hint="eastAsia" w:ascii="宋体" w:hAnsi="宋体" w:eastAsia="宋体" w:cs="宋体"/>
                <w:color w:val="auto"/>
                <w:spacing w:val="0"/>
                <w:position w:val="0"/>
                <w:sz w:val="24"/>
                <w:szCs w:val="24"/>
                <w:highlight w:val="none"/>
                <w:u w:val="none"/>
              </w:rPr>
              <w:t>《中华人民共和国医疗器械注册证》及《医疗器械产品注册登记表》（若有）。</w:t>
            </w:r>
          </w:p>
          <w:p>
            <w:pPr>
              <w:spacing w:before="0" w:after="0" w:line="335" w:lineRule="exact"/>
              <w:ind w:left="22" w:leftChars="0"/>
              <w:jc w:val="left"/>
              <w:rPr>
                <w:rFonts w:hint="eastAsia" w:ascii="宋体" w:hAnsi="宋体" w:eastAsia="宋体" w:cs="宋体"/>
                <w:color w:val="auto"/>
                <w:spacing w:val="0"/>
                <w:position w:val="0"/>
                <w:sz w:val="24"/>
                <w:szCs w:val="24"/>
                <w:highlight w:val="none"/>
                <w:u w:val="none"/>
              </w:rPr>
            </w:pPr>
            <w:r>
              <w:rPr>
                <w:rFonts w:hint="eastAsia" w:ascii="宋体" w:hAnsi="宋体" w:eastAsia="宋体" w:cs="宋体"/>
                <w:color w:val="auto"/>
                <w:spacing w:val="0"/>
                <w:position w:val="0"/>
                <w:sz w:val="24"/>
                <w:szCs w:val="24"/>
                <w:highlight w:val="none"/>
                <w:u w:val="none"/>
              </w:rPr>
              <w:t>注：所有资格证明文件复印件须在有效期内。</w:t>
            </w:r>
          </w:p>
        </w:tc>
      </w:tr>
    </w:tbl>
    <w:p>
      <w:pPr>
        <w:pStyle w:val="4"/>
        <w:widowControl/>
        <w:spacing w:before="0" w:beforeAutospacing="0" w:after="0" w:afterAutospacing="0" w:line="440" w:lineRule="exact"/>
        <w:ind w:firstLine="480" w:firstLineChars="200"/>
        <w:rPr>
          <w:rFonts w:hint="eastAsia" w:ascii="宋体" w:hAnsi="宋体" w:cs="宋体"/>
          <w:color w:val="auto"/>
        </w:rPr>
      </w:pPr>
      <w:r>
        <w:rPr>
          <w:rFonts w:hint="eastAsia" w:ascii="宋体" w:hAnsi="宋体" w:cs="宋体"/>
          <w:color w:val="auto"/>
          <w:shd w:val="clear" w:color="auto" w:fill="FFFFFF"/>
        </w:rPr>
        <w:t>（三）是否接受联合体形式的响应谈判：不接受</w:t>
      </w:r>
    </w:p>
    <w:p>
      <w:pPr>
        <w:pStyle w:val="4"/>
        <w:widowControl/>
        <w:spacing w:before="0" w:beforeAutospacing="0" w:after="0" w:afterAutospacing="0" w:line="440" w:lineRule="exact"/>
        <w:ind w:firstLine="482" w:firstLineChars="200"/>
        <w:rPr>
          <w:rFonts w:hint="eastAsia" w:ascii="宋体" w:hAnsi="宋体" w:cs="宋体"/>
          <w:color w:val="auto"/>
        </w:rPr>
      </w:pPr>
      <w:r>
        <w:rPr>
          <w:rStyle w:val="9"/>
          <w:rFonts w:hint="eastAsia" w:ascii="宋体" w:hAnsi="宋体" w:cs="宋体"/>
          <w:color w:val="auto"/>
        </w:rPr>
        <w:t>※</w:t>
      </w:r>
      <w:r>
        <w:rPr>
          <w:rStyle w:val="9"/>
          <w:rFonts w:hint="eastAsia" w:ascii="宋体" w:hAnsi="宋体" w:cs="宋体"/>
          <w:color w:val="auto"/>
          <w:shd w:val="clear" w:color="auto" w:fill="FFFFFF"/>
        </w:rPr>
        <w:t>根据上述资格要求，供应商响应文件中应提交的“资格证明文件”相关规定和资料要求，详见竞争性谈判须知前附表和谈判文件第五章。</w:t>
      </w:r>
    </w:p>
    <w:p>
      <w:pPr>
        <w:shd w:val="clear" w:color="auto" w:fill="FFFFFF"/>
        <w:spacing w:line="440" w:lineRule="exact"/>
        <w:ind w:firstLine="482" w:firstLineChars="200"/>
        <w:rPr>
          <w:rFonts w:hint="eastAsia" w:ascii="宋体" w:hAnsi="宋体" w:cs="宋体"/>
          <w:b/>
          <w:color w:val="auto"/>
          <w:sz w:val="24"/>
          <w:highlight w:val="none"/>
        </w:rPr>
      </w:pPr>
      <w:r>
        <w:rPr>
          <w:rFonts w:hint="eastAsia" w:ascii="宋体" w:hAnsi="宋体" w:cs="宋体"/>
          <w:b/>
          <w:color w:val="auto"/>
          <w:sz w:val="24"/>
        </w:rPr>
        <w:t>六、报</w:t>
      </w:r>
      <w:r>
        <w:rPr>
          <w:rFonts w:hint="eastAsia" w:ascii="宋体" w:hAnsi="宋体" w:cs="宋体"/>
          <w:b/>
          <w:color w:val="auto"/>
          <w:sz w:val="24"/>
          <w:highlight w:val="none"/>
        </w:rPr>
        <w:t>名及谈判文件的获取</w:t>
      </w:r>
    </w:p>
    <w:p>
      <w:pPr>
        <w:pStyle w:val="10"/>
        <w:keepNext w:val="0"/>
        <w:keepLines w:val="0"/>
        <w:pageBreakBefore w:val="0"/>
        <w:widowControl/>
        <w:kinsoku/>
        <w:wordWrap/>
        <w:overflowPunct/>
        <w:topLinePunct w:val="0"/>
        <w:autoSpaceDE/>
        <w:autoSpaceDN/>
        <w:bidi w:val="0"/>
        <w:adjustRightInd/>
        <w:snapToGrid/>
        <w:spacing w:line="40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.1采购文件的提供期限：</w:t>
      </w:r>
      <w:r>
        <w:rPr>
          <w:rFonts w:hint="eastAsia" w:ascii="宋体" w:hAnsi="宋体" w:eastAsia="宋体" w:cs="宋体"/>
          <w:b/>
          <w:color w:val="auto"/>
          <w:sz w:val="24"/>
          <w:szCs w:val="24"/>
          <w:highlight w:val="none"/>
          <w:u w:val="single"/>
          <w:lang w:val="en-US" w:eastAsia="zh-CN"/>
        </w:rPr>
        <w:t>2025年</w:t>
      </w:r>
      <w:r>
        <w:rPr>
          <w:rFonts w:hint="eastAsia" w:ascii="宋体" w:hAnsi="宋体" w:cs="宋体"/>
          <w:b/>
          <w:color w:val="auto"/>
          <w:sz w:val="24"/>
          <w:szCs w:val="24"/>
          <w:highlight w:val="none"/>
          <w:u w:val="single"/>
          <w:lang w:val="en-US" w:eastAsia="zh-CN"/>
        </w:rPr>
        <w:t>11</w:t>
      </w:r>
      <w:r>
        <w:rPr>
          <w:rFonts w:hint="eastAsia" w:ascii="宋体" w:hAnsi="宋体" w:eastAsia="宋体" w:cs="宋体"/>
          <w:b/>
          <w:color w:val="auto"/>
          <w:sz w:val="24"/>
          <w:szCs w:val="24"/>
          <w:highlight w:val="none"/>
          <w:u w:val="single"/>
          <w:lang w:val="en-US" w:eastAsia="zh-CN"/>
        </w:rPr>
        <w:t>月</w:t>
      </w:r>
      <w:r>
        <w:rPr>
          <w:rFonts w:hint="eastAsia" w:ascii="宋体" w:hAnsi="宋体" w:cs="宋体"/>
          <w:b/>
          <w:color w:val="auto"/>
          <w:sz w:val="24"/>
          <w:szCs w:val="24"/>
          <w:highlight w:val="none"/>
          <w:u w:val="single"/>
          <w:lang w:val="en-US" w:eastAsia="zh-CN"/>
        </w:rPr>
        <w:t>06</w:t>
      </w:r>
      <w:r>
        <w:rPr>
          <w:rFonts w:hint="eastAsia" w:ascii="宋体" w:hAnsi="宋体" w:eastAsia="宋体" w:cs="宋体"/>
          <w:b/>
          <w:color w:val="auto"/>
          <w:sz w:val="24"/>
          <w:szCs w:val="24"/>
          <w:highlight w:val="none"/>
          <w:u w:val="single"/>
          <w:lang w:val="en-US" w:eastAsia="zh-CN"/>
        </w:rPr>
        <w:t>日——2025年</w:t>
      </w:r>
      <w:r>
        <w:rPr>
          <w:rFonts w:hint="eastAsia" w:ascii="宋体" w:hAnsi="宋体" w:cs="宋体"/>
          <w:b/>
          <w:color w:val="auto"/>
          <w:sz w:val="24"/>
          <w:szCs w:val="24"/>
          <w:highlight w:val="none"/>
          <w:u w:val="single"/>
          <w:lang w:val="en-US" w:eastAsia="zh-CN"/>
        </w:rPr>
        <w:t>11</w:t>
      </w:r>
      <w:r>
        <w:rPr>
          <w:rFonts w:hint="eastAsia" w:ascii="宋体" w:hAnsi="宋体" w:eastAsia="宋体" w:cs="宋体"/>
          <w:b/>
          <w:color w:val="auto"/>
          <w:sz w:val="24"/>
          <w:szCs w:val="24"/>
          <w:highlight w:val="none"/>
          <w:u w:val="single"/>
          <w:lang w:val="en-US" w:eastAsia="zh-CN"/>
        </w:rPr>
        <w:t>月</w:t>
      </w:r>
      <w:r>
        <w:rPr>
          <w:rFonts w:hint="eastAsia" w:ascii="宋体" w:hAnsi="宋体" w:cs="宋体"/>
          <w:b/>
          <w:color w:val="auto"/>
          <w:sz w:val="24"/>
          <w:szCs w:val="24"/>
          <w:highlight w:val="none"/>
          <w:u w:val="single"/>
          <w:lang w:val="en-US" w:eastAsia="zh-CN"/>
        </w:rPr>
        <w:t>10</w:t>
      </w:r>
      <w:r>
        <w:rPr>
          <w:rFonts w:hint="eastAsia" w:ascii="宋体" w:hAnsi="宋体" w:eastAsia="宋体" w:cs="宋体"/>
          <w:b/>
          <w:color w:val="auto"/>
          <w:sz w:val="24"/>
          <w:szCs w:val="24"/>
          <w:highlight w:val="none"/>
          <w:u w:val="single"/>
          <w:lang w:val="en-US" w:eastAsia="zh-CN"/>
        </w:rPr>
        <w:t>日</w:t>
      </w:r>
      <w:r>
        <w:rPr>
          <w:rFonts w:hint="eastAsia" w:ascii="宋体" w:hAnsi="宋体" w:eastAsia="宋体" w:cs="宋体"/>
          <w:color w:val="auto"/>
          <w:sz w:val="24"/>
          <w:highlight w:val="none"/>
        </w:rPr>
        <w:t>。</w:t>
      </w:r>
      <w:r>
        <w:rPr>
          <w:rFonts w:hint="eastAsia" w:ascii="宋体" w:hAnsi="宋体" w:eastAsia="宋体" w:cs="宋体"/>
          <w:color w:val="auto"/>
          <w:sz w:val="24"/>
          <w:szCs w:val="24"/>
          <w:highlight w:val="none"/>
        </w:rPr>
        <w:t>详见</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公告或更正公告（若有），若不一致，以更正公告（若有）为准。采购文件的提供期限与</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公告的公告期限保持一致。</w:t>
      </w:r>
    </w:p>
    <w:p>
      <w:pPr>
        <w:pStyle w:val="10"/>
        <w:keepNext w:val="0"/>
        <w:keepLines w:val="0"/>
        <w:pageBreakBefore w:val="0"/>
        <w:widowControl/>
        <w:kinsoku/>
        <w:wordWrap/>
        <w:overflowPunct/>
        <w:topLinePunct w:val="0"/>
        <w:autoSpaceDE/>
        <w:autoSpaceDN/>
        <w:bidi w:val="0"/>
        <w:adjustRightInd/>
        <w:snapToGrid/>
        <w:spacing w:line="400" w:lineRule="exact"/>
        <w:ind w:firstLine="480"/>
        <w:rPr>
          <w:rFonts w:hint="eastAsia" w:ascii="宋体" w:hAnsi="宋体" w:eastAsia="宋体" w:cs="宋体"/>
          <w:b w:val="0"/>
          <w:bCs w:val="0"/>
          <w:color w:val="auto"/>
          <w:sz w:val="24"/>
          <w:highlight w:val="none"/>
          <w:lang w:eastAsia="zh-CN"/>
        </w:rPr>
      </w:pPr>
      <w:r>
        <w:rPr>
          <w:rFonts w:hint="eastAsia" w:ascii="宋体" w:hAnsi="宋体" w:eastAsia="宋体" w:cs="宋体"/>
          <w:b w:val="0"/>
          <w:bCs w:val="0"/>
          <w:color w:val="auto"/>
          <w:sz w:val="24"/>
          <w:szCs w:val="24"/>
          <w:highlight w:val="none"/>
          <w:lang w:val="en-US" w:eastAsia="zh-CN"/>
        </w:rPr>
        <w:t>6</w:t>
      </w: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rPr>
        <w:t>获取地点及方式：到</w:t>
      </w:r>
      <w:r>
        <w:rPr>
          <w:rFonts w:hint="eastAsia" w:ascii="宋体" w:hAnsi="宋体" w:eastAsia="宋体" w:cs="宋体"/>
          <w:b w:val="0"/>
          <w:bCs w:val="0"/>
          <w:color w:val="auto"/>
          <w:sz w:val="24"/>
          <w:szCs w:val="24"/>
          <w:highlight w:val="none"/>
          <w:shd w:val="clear" w:color="auto" w:fill="FFFFFF"/>
          <w:lang w:eastAsia="zh-CN"/>
        </w:rPr>
        <w:t>福建省臻信达项目管理有限公司</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eastAsia="zh-CN"/>
        </w:rPr>
        <w:t>泉州市丰泽区坪山路441号野兔云谷综合产业园4层4702</w:t>
      </w:r>
      <w:r>
        <w:rPr>
          <w:rFonts w:hint="eastAsia" w:ascii="宋体" w:hAnsi="宋体" w:eastAsia="宋体" w:cs="宋体"/>
          <w:b w:val="0"/>
          <w:bCs w:val="0"/>
          <w:color w:val="auto"/>
          <w:sz w:val="24"/>
          <w:szCs w:val="24"/>
          <w:highlight w:val="none"/>
        </w:rPr>
        <w:t>）</w:t>
      </w:r>
      <w:r>
        <w:rPr>
          <w:rFonts w:hint="eastAsia" w:ascii="宋体" w:hAnsi="宋体" w:cs="宋体"/>
          <w:b w:val="0"/>
          <w:bCs w:val="0"/>
          <w:color w:val="auto"/>
          <w:sz w:val="24"/>
          <w:szCs w:val="24"/>
          <w:highlight w:val="none"/>
          <w:lang w:val="en-US" w:eastAsia="zh-CN"/>
        </w:rPr>
        <w:t>获取谈判</w:t>
      </w:r>
      <w:r>
        <w:rPr>
          <w:rFonts w:hint="eastAsia" w:ascii="宋体" w:hAnsi="宋体" w:eastAsia="宋体" w:cs="宋体"/>
          <w:b w:val="0"/>
          <w:bCs w:val="0"/>
          <w:color w:val="auto"/>
          <w:sz w:val="24"/>
          <w:szCs w:val="24"/>
          <w:highlight w:val="none"/>
        </w:rPr>
        <w:t>文件</w:t>
      </w:r>
      <w:r>
        <w:rPr>
          <w:rFonts w:hint="eastAsia" w:ascii="宋体" w:hAnsi="宋体" w:cs="宋体"/>
          <w:b w:val="0"/>
          <w:bCs w:val="0"/>
          <w:color w:val="auto"/>
          <w:sz w:val="24"/>
          <w:szCs w:val="24"/>
          <w:highlight w:val="none"/>
          <w:lang w:eastAsia="zh-CN"/>
        </w:rPr>
        <w:t>。</w:t>
      </w:r>
    </w:p>
    <w:p>
      <w:pPr>
        <w:shd w:val="clear" w:color="auto" w:fill="FFFFFF"/>
        <w:spacing w:line="440" w:lineRule="exact"/>
        <w:ind w:firstLine="482" w:firstLineChars="200"/>
        <w:rPr>
          <w:rFonts w:hint="eastAsia" w:ascii="宋体" w:hAnsi="宋体" w:cs="宋体"/>
          <w:color w:val="auto"/>
          <w:sz w:val="24"/>
          <w:highlight w:val="none"/>
        </w:rPr>
      </w:pPr>
      <w:r>
        <w:rPr>
          <w:rFonts w:hint="eastAsia" w:ascii="宋体" w:hAnsi="宋体" w:cs="宋体"/>
          <w:b/>
          <w:color w:val="auto"/>
          <w:sz w:val="24"/>
          <w:highlight w:val="none"/>
        </w:rPr>
        <w:t>七、首次响应文件递交截止时间、谈判时间及地点</w:t>
      </w:r>
      <w:r>
        <w:rPr>
          <w:rFonts w:hint="eastAsia" w:ascii="宋体" w:hAnsi="宋体" w:cs="宋体"/>
          <w:color w:val="auto"/>
          <w:sz w:val="24"/>
          <w:highlight w:val="none"/>
        </w:rPr>
        <w:t>：</w:t>
      </w:r>
    </w:p>
    <w:p>
      <w:pPr>
        <w:pStyle w:val="3"/>
        <w:spacing w:line="440" w:lineRule="exact"/>
        <w:ind w:left="0" w:leftChars="0" w:firstLine="424" w:firstLineChars="200"/>
        <w:rPr>
          <w:rFonts w:hint="eastAsia" w:ascii="宋体" w:hAnsi="宋体" w:eastAsia="宋体" w:cs="宋体"/>
          <w:b w:val="0"/>
          <w:bCs w:val="0"/>
          <w:color w:val="auto"/>
          <w:sz w:val="24"/>
          <w:szCs w:val="24"/>
          <w:highlight w:val="none"/>
          <w:lang w:val="en-US" w:eastAsia="zh-CN"/>
        </w:rPr>
      </w:pPr>
      <w:r>
        <w:rPr>
          <w:rFonts w:hint="eastAsia" w:ascii="宋体" w:hAnsi="宋体" w:cs="宋体"/>
          <w:b w:val="0"/>
          <w:bCs w:val="0"/>
          <w:color w:val="auto"/>
          <w:spacing w:val="-14"/>
          <w:sz w:val="24"/>
          <w:szCs w:val="24"/>
          <w:highlight w:val="none"/>
        </w:rPr>
        <w:t>（</w:t>
      </w:r>
      <w:r>
        <w:rPr>
          <w:rFonts w:hint="eastAsia" w:ascii="宋体" w:hAnsi="宋体" w:cs="宋体"/>
          <w:b w:val="0"/>
          <w:bCs w:val="0"/>
          <w:color w:val="auto"/>
          <w:spacing w:val="-14"/>
          <w:sz w:val="24"/>
          <w:szCs w:val="24"/>
          <w:highlight w:val="none"/>
          <w:lang w:val="en-US" w:eastAsia="zh-CN"/>
        </w:rPr>
        <w:t>一</w:t>
      </w:r>
      <w:r>
        <w:rPr>
          <w:rFonts w:hint="eastAsia" w:ascii="宋体" w:hAnsi="宋体" w:cs="宋体"/>
          <w:b w:val="0"/>
          <w:bCs w:val="0"/>
          <w:color w:val="auto"/>
          <w:spacing w:val="-14"/>
          <w:sz w:val="24"/>
          <w:szCs w:val="24"/>
          <w:highlight w:val="none"/>
        </w:rPr>
        <w:t>）</w:t>
      </w:r>
      <w:r>
        <w:rPr>
          <w:rFonts w:hint="eastAsia" w:ascii="宋体" w:hAnsi="宋体" w:eastAsia="宋体" w:cs="宋体"/>
          <w:b w:val="0"/>
          <w:bCs w:val="0"/>
          <w:color w:val="auto"/>
          <w:sz w:val="24"/>
          <w:szCs w:val="24"/>
          <w:highlight w:val="none"/>
          <w:lang w:val="en-US" w:eastAsia="zh-CN"/>
        </w:rPr>
        <w:t>截止时间递交截止时间：2025年11月13日09:30；</w:t>
      </w:r>
    </w:p>
    <w:p>
      <w:pPr>
        <w:pStyle w:val="3"/>
        <w:spacing w:line="440" w:lineRule="exact"/>
        <w:ind w:left="0" w:leftChars="0" w:firstLine="424" w:firstLineChars="200"/>
        <w:rPr>
          <w:rFonts w:hint="eastAsia" w:ascii="宋体" w:hAnsi="宋体" w:eastAsia="宋体" w:cs="宋体"/>
          <w:b w:val="0"/>
          <w:bCs w:val="0"/>
          <w:color w:val="auto"/>
          <w:sz w:val="24"/>
          <w:szCs w:val="24"/>
          <w:highlight w:val="none"/>
          <w:lang w:val="en-US" w:eastAsia="zh-CN"/>
        </w:rPr>
      </w:pPr>
      <w:r>
        <w:rPr>
          <w:rFonts w:hint="eastAsia" w:ascii="宋体" w:hAnsi="宋体" w:cs="宋体"/>
          <w:b w:val="0"/>
          <w:bCs w:val="0"/>
          <w:color w:val="auto"/>
          <w:spacing w:val="-14"/>
          <w:sz w:val="24"/>
          <w:szCs w:val="24"/>
          <w:highlight w:val="none"/>
        </w:rPr>
        <w:t>（</w:t>
      </w:r>
      <w:r>
        <w:rPr>
          <w:rFonts w:hint="eastAsia" w:ascii="宋体" w:hAnsi="宋体" w:cs="宋体"/>
          <w:b w:val="0"/>
          <w:bCs w:val="0"/>
          <w:color w:val="auto"/>
          <w:spacing w:val="-14"/>
          <w:sz w:val="24"/>
          <w:szCs w:val="24"/>
          <w:highlight w:val="none"/>
          <w:lang w:val="en-US" w:eastAsia="zh-CN"/>
        </w:rPr>
        <w:t>二</w:t>
      </w:r>
      <w:r>
        <w:rPr>
          <w:rFonts w:hint="eastAsia" w:ascii="宋体" w:hAnsi="宋体" w:cs="宋体"/>
          <w:b w:val="0"/>
          <w:bCs w:val="0"/>
          <w:color w:val="auto"/>
          <w:spacing w:val="-14"/>
          <w:sz w:val="24"/>
          <w:szCs w:val="24"/>
          <w:highlight w:val="none"/>
        </w:rPr>
        <w:t>）</w:t>
      </w:r>
      <w:r>
        <w:rPr>
          <w:rFonts w:hint="eastAsia" w:ascii="宋体" w:hAnsi="宋体" w:eastAsia="宋体" w:cs="宋体"/>
          <w:b w:val="0"/>
          <w:bCs w:val="0"/>
          <w:color w:val="auto"/>
          <w:sz w:val="24"/>
          <w:szCs w:val="24"/>
          <w:highlight w:val="none"/>
          <w:lang w:val="en-US" w:eastAsia="zh-CN"/>
        </w:rPr>
        <w:t>开标时间：2025年11月13日09:30</w:t>
      </w:r>
    </w:p>
    <w:p>
      <w:pPr>
        <w:pStyle w:val="3"/>
        <w:spacing w:line="440" w:lineRule="exact"/>
        <w:ind w:left="0" w:leftChars="0" w:firstLine="424" w:firstLineChars="200"/>
        <w:rPr>
          <w:rFonts w:hint="eastAsia" w:ascii="宋体" w:hAnsi="宋体" w:cs="宋体"/>
          <w:b w:val="0"/>
          <w:bCs w:val="0"/>
          <w:color w:val="auto"/>
          <w:sz w:val="24"/>
          <w:szCs w:val="24"/>
          <w:highlight w:val="none"/>
        </w:rPr>
      </w:pPr>
      <w:r>
        <w:rPr>
          <w:rFonts w:hint="eastAsia" w:ascii="宋体" w:hAnsi="宋体" w:cs="宋体"/>
          <w:b w:val="0"/>
          <w:bCs w:val="0"/>
          <w:color w:val="auto"/>
          <w:spacing w:val="-14"/>
          <w:sz w:val="24"/>
          <w:szCs w:val="24"/>
          <w:highlight w:val="none"/>
        </w:rPr>
        <w:t>（三）开标</w:t>
      </w:r>
      <w:r>
        <w:rPr>
          <w:rFonts w:hint="eastAsia" w:ascii="宋体" w:hAnsi="宋体" w:cs="宋体"/>
          <w:b w:val="0"/>
          <w:bCs w:val="0"/>
          <w:color w:val="auto"/>
          <w:sz w:val="24"/>
          <w:szCs w:val="24"/>
          <w:highlight w:val="none"/>
        </w:rPr>
        <w:t>地点：</w:t>
      </w:r>
      <w:r>
        <w:rPr>
          <w:rFonts w:hint="eastAsia" w:ascii="宋体" w:hAnsi="宋体" w:cs="宋体"/>
          <w:b w:val="0"/>
          <w:bCs w:val="0"/>
          <w:color w:val="auto"/>
          <w:sz w:val="24"/>
          <w:szCs w:val="24"/>
          <w:highlight w:val="none"/>
          <w:lang w:val="en-US" w:eastAsia="zh-CN"/>
        </w:rPr>
        <w:t>泉州市丰泽区坪山路441号野兔云谷综合产业园4层4702</w:t>
      </w:r>
    </w:p>
    <w:p>
      <w:pPr>
        <w:pStyle w:val="4"/>
        <w:spacing w:before="0" w:beforeAutospacing="0" w:after="0" w:afterAutospacing="0" w:line="440" w:lineRule="exact"/>
        <w:ind w:firstLine="482" w:firstLineChars="200"/>
        <w:rPr>
          <w:rFonts w:ascii="宋体" w:hAnsi="宋体" w:cs="宋体"/>
          <w:color w:val="auto"/>
        </w:rPr>
      </w:pPr>
      <w:r>
        <w:rPr>
          <w:rFonts w:hint="eastAsia" w:ascii="宋体" w:hAnsi="宋体" w:cs="宋体"/>
          <w:b/>
          <w:color w:val="auto"/>
        </w:rPr>
        <w:t>八、竞争性谈判公告期限</w:t>
      </w:r>
      <w:r>
        <w:rPr>
          <w:rFonts w:hint="eastAsia" w:ascii="宋体" w:hAnsi="宋体" w:cs="宋体"/>
          <w:color w:val="auto"/>
        </w:rPr>
        <w:t>：自本公告发布之日起3个工作日。</w:t>
      </w:r>
      <w:r>
        <w:rPr>
          <w:rFonts w:hint="eastAsia" w:ascii="宋体" w:hAnsi="宋体" w:cs="宋体"/>
          <w:b/>
          <w:bCs/>
          <w:color w:val="auto"/>
        </w:rPr>
        <w:t xml:space="preserve">     </w:t>
      </w:r>
    </w:p>
    <w:p>
      <w:pPr>
        <w:widowControl/>
        <w:shd w:val="clear" w:color="auto" w:fill="FFFFFF"/>
        <w:wordWrap w:val="0"/>
        <w:topLinePunct/>
        <w:spacing w:line="440" w:lineRule="exact"/>
        <w:ind w:firstLine="482" w:firstLineChars="200"/>
        <w:rPr>
          <w:rFonts w:hint="eastAsia" w:ascii="宋体" w:hAnsi="宋体" w:cs="宋体"/>
          <w:color w:val="auto"/>
          <w:sz w:val="24"/>
        </w:rPr>
      </w:pPr>
      <w:r>
        <w:rPr>
          <w:rFonts w:hint="eastAsia" w:ascii="宋体" w:hAnsi="宋体" w:cs="宋体"/>
          <w:b/>
          <w:color w:val="auto"/>
          <w:sz w:val="24"/>
        </w:rPr>
        <w:t>九</w:t>
      </w:r>
      <w:r>
        <w:rPr>
          <w:rFonts w:hint="eastAsia" w:ascii="宋体" w:hAnsi="宋体" w:cs="宋体"/>
          <w:b/>
          <w:color w:val="auto"/>
          <w:sz w:val="24"/>
        </w:rPr>
        <w:t>、竞争性谈判公告媒介</w:t>
      </w:r>
      <w:r>
        <w:rPr>
          <w:rFonts w:hint="eastAsia" w:ascii="宋体" w:hAnsi="宋体" w:cs="宋体"/>
          <w:color w:val="auto"/>
          <w:sz w:val="24"/>
        </w:rPr>
        <w:t>：</w:t>
      </w:r>
      <w:r>
        <w:rPr>
          <w:rFonts w:hint="eastAsia" w:ascii="宋体" w:hAnsi="宋体" w:eastAsia="宋体" w:cs="宋体"/>
          <w:color w:val="auto"/>
          <w:sz w:val="24"/>
          <w:lang w:val="en-US" w:eastAsia="zh-CN"/>
        </w:rPr>
        <w:t>南安市紧密型医共体招采供平台（http://nazb.51zhaobiao.cn/f）、南安市医院（https://www.fjsnasyy.cn/）</w:t>
      </w:r>
    </w:p>
    <w:p>
      <w:pPr>
        <w:pStyle w:val="4"/>
        <w:widowControl/>
        <w:spacing w:before="0" w:beforeAutospacing="0" w:after="0" w:afterAutospacing="0" w:line="360" w:lineRule="auto"/>
        <w:ind w:firstLine="480"/>
        <w:rPr>
          <w:rFonts w:hint="eastAsia" w:ascii="宋体" w:hAnsi="宋体" w:cs="宋体"/>
          <w:color w:val="auto"/>
          <w:highlight w:val="none"/>
        </w:rPr>
      </w:pPr>
      <w:r>
        <w:rPr>
          <w:rFonts w:hint="eastAsia" w:ascii="宋体" w:hAnsi="宋体" w:cs="宋体"/>
          <w:b/>
          <w:color w:val="auto"/>
        </w:rPr>
        <w:t>十</w:t>
      </w:r>
      <w:r>
        <w:rPr>
          <w:rFonts w:hint="eastAsia" w:ascii="宋体" w:hAnsi="宋体" w:cs="宋体"/>
          <w:b/>
          <w:color w:val="auto"/>
          <w:highlight w:val="none"/>
        </w:rPr>
        <w:t>、采购人</w:t>
      </w:r>
      <w:r>
        <w:rPr>
          <w:rFonts w:hint="eastAsia" w:ascii="宋体" w:hAnsi="宋体" w:cs="宋体"/>
          <w:color w:val="auto"/>
          <w:highlight w:val="none"/>
        </w:rPr>
        <w:t>：</w:t>
      </w:r>
      <w:r>
        <w:rPr>
          <w:rFonts w:hint="eastAsia" w:ascii="宋体" w:hAnsi="宋体" w:cs="宋体"/>
          <w:color w:val="auto"/>
          <w:kern w:val="2"/>
          <w:highlight w:val="none"/>
          <w:lang w:val="en-US" w:eastAsia="zh-CN"/>
        </w:rPr>
        <w:t>南安市医院</w:t>
      </w:r>
    </w:p>
    <w:p>
      <w:pPr>
        <w:shd w:val="clear" w:color="auto" w:fill="FFFFFF"/>
        <w:spacing w:line="360" w:lineRule="auto"/>
        <w:ind w:firstLine="480" w:firstLineChars="200"/>
        <w:rPr>
          <w:rFonts w:hint="eastAsia" w:ascii="宋体" w:hAnsi="宋体" w:cs="宋体"/>
          <w:b w:val="0"/>
          <w:bCs w:val="0"/>
          <w:color w:val="auto"/>
          <w:sz w:val="24"/>
          <w:lang w:eastAsia="zh-CN"/>
        </w:rPr>
      </w:pPr>
      <w:r>
        <w:rPr>
          <w:rFonts w:hint="eastAsia" w:ascii="宋体" w:hAnsi="宋体" w:cs="宋体"/>
          <w:b w:val="0"/>
          <w:bCs w:val="0"/>
          <w:color w:val="auto"/>
          <w:sz w:val="24"/>
        </w:rPr>
        <w:t>地址：</w:t>
      </w:r>
      <w:r>
        <w:rPr>
          <w:rFonts w:hint="eastAsia" w:ascii="宋体" w:hAnsi="宋体" w:cs="宋体"/>
          <w:b w:val="0"/>
          <w:bCs w:val="0"/>
          <w:color w:val="auto"/>
          <w:sz w:val="24"/>
          <w:lang w:eastAsia="zh-CN"/>
        </w:rPr>
        <w:t>福建省南安市江北大道2330号</w:t>
      </w:r>
    </w:p>
    <w:p>
      <w:pPr>
        <w:shd w:val="clear" w:color="auto" w:fill="FFFFFF"/>
        <w:spacing w:line="360" w:lineRule="auto"/>
        <w:ind w:firstLine="480" w:firstLineChars="200"/>
        <w:rPr>
          <w:rFonts w:hint="eastAsia" w:ascii="宋体" w:hAnsi="宋体" w:cs="宋体"/>
          <w:b w:val="0"/>
          <w:bCs w:val="0"/>
          <w:color w:val="auto"/>
          <w:sz w:val="24"/>
          <w:highlight w:val="none"/>
        </w:rPr>
      </w:pPr>
      <w:r>
        <w:rPr>
          <w:rFonts w:hint="eastAsia" w:ascii="宋体" w:hAnsi="宋体" w:cs="宋体"/>
          <w:b w:val="0"/>
          <w:bCs w:val="0"/>
          <w:color w:val="auto"/>
          <w:sz w:val="24"/>
          <w:highlight w:val="none"/>
        </w:rPr>
        <w:t xml:space="preserve"> 邮编： 362400</w:t>
      </w:r>
    </w:p>
    <w:p>
      <w:pPr>
        <w:shd w:val="clear" w:color="auto" w:fill="FFFFFF"/>
        <w:spacing w:line="360" w:lineRule="auto"/>
        <w:ind w:firstLine="480" w:firstLineChars="200"/>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rPr>
        <w:t xml:space="preserve"> 联系人：</w:t>
      </w:r>
      <w:r>
        <w:rPr>
          <w:rFonts w:hint="eastAsia" w:ascii="宋体" w:hAnsi="宋体" w:cs="宋体"/>
          <w:b w:val="0"/>
          <w:bCs w:val="0"/>
          <w:color w:val="auto"/>
          <w:sz w:val="24"/>
          <w:highlight w:val="none"/>
          <w:lang w:val="en-US" w:eastAsia="zh-CN"/>
        </w:rPr>
        <w:t>卓晓琳</w:t>
      </w:r>
    </w:p>
    <w:p>
      <w:pPr>
        <w:shd w:val="clear" w:color="auto" w:fill="FFFFFF"/>
        <w:spacing w:line="360" w:lineRule="auto"/>
        <w:ind w:firstLine="480" w:firstLineChars="200"/>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rPr>
        <w:t xml:space="preserve"> 联系电话：</w:t>
      </w:r>
      <w:r>
        <w:rPr>
          <w:rFonts w:hint="eastAsia" w:ascii="宋体" w:hAnsi="宋体" w:cs="宋体"/>
          <w:b w:val="0"/>
          <w:bCs w:val="0"/>
          <w:color w:val="auto"/>
          <w:sz w:val="24"/>
          <w:highlight w:val="none"/>
          <w:lang w:val="en-US" w:eastAsia="zh-CN"/>
        </w:rPr>
        <w:t>0595-86394148</w:t>
      </w:r>
    </w:p>
    <w:p>
      <w:pPr>
        <w:shd w:val="clear" w:color="auto" w:fill="FFFFFF"/>
        <w:spacing w:line="360" w:lineRule="auto"/>
        <w:ind w:firstLine="482" w:firstLineChars="200"/>
        <w:rPr>
          <w:rFonts w:hint="eastAsia" w:eastAsia="宋体"/>
          <w:color w:val="auto"/>
          <w:lang w:eastAsia="zh-CN"/>
        </w:rPr>
      </w:pPr>
      <w:r>
        <w:rPr>
          <w:rFonts w:hint="eastAsia" w:ascii="宋体" w:hAnsi="宋体" w:cs="宋体"/>
          <w:b/>
          <w:bCs/>
          <w:color w:val="auto"/>
          <w:sz w:val="24"/>
        </w:rPr>
        <w:t>十</w:t>
      </w:r>
      <w:r>
        <w:rPr>
          <w:rFonts w:hint="eastAsia" w:ascii="宋体" w:hAnsi="宋体" w:cs="宋体"/>
          <w:b/>
          <w:bCs/>
          <w:color w:val="auto"/>
          <w:sz w:val="24"/>
          <w:lang w:val="en-US" w:eastAsia="zh-CN"/>
        </w:rPr>
        <w:t>一</w:t>
      </w:r>
      <w:r>
        <w:rPr>
          <w:rFonts w:hint="eastAsia" w:ascii="宋体" w:hAnsi="宋体" w:cs="宋体"/>
          <w:b/>
          <w:bCs/>
          <w:color w:val="auto"/>
          <w:sz w:val="24"/>
        </w:rPr>
        <w:t>、采购代理机构：</w:t>
      </w:r>
      <w:r>
        <w:rPr>
          <w:rFonts w:hint="eastAsia" w:ascii="宋体" w:hAnsi="宋体" w:cs="宋体"/>
          <w:color w:val="auto"/>
          <w:sz w:val="24"/>
          <w:lang w:eastAsia="zh-CN"/>
        </w:rPr>
        <w:t>福建省臻信达项目管理有限公司</w:t>
      </w:r>
    </w:p>
    <w:p>
      <w:pPr>
        <w:pStyle w:val="10"/>
        <w:keepNext w:val="0"/>
        <w:keepLines w:val="0"/>
        <w:pageBreakBefore w:val="0"/>
        <w:widowControl/>
        <w:kinsoku/>
        <w:wordWrap/>
        <w:overflowPunct/>
        <w:topLinePunct w:val="0"/>
        <w:autoSpaceDE/>
        <w:autoSpaceDN/>
        <w:bidi w:val="0"/>
        <w:adjustRightInd/>
        <w:snapToGrid/>
        <w:spacing w:line="4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lang w:eastAsia="zh-CN"/>
        </w:rPr>
        <w:t>泉州市丰泽区坪山路441号野兔云谷综合产业园4层4702</w:t>
      </w:r>
    </w:p>
    <w:p>
      <w:pPr>
        <w:pStyle w:val="10"/>
        <w:keepNext w:val="0"/>
        <w:keepLines w:val="0"/>
        <w:pageBreakBefore w:val="0"/>
        <w:widowControl/>
        <w:kinsoku/>
        <w:wordWrap/>
        <w:overflowPunct/>
        <w:topLinePunct w:val="0"/>
        <w:autoSpaceDE/>
        <w:autoSpaceDN/>
        <w:bidi w:val="0"/>
        <w:adjustRightInd/>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邮编：362000</w:t>
      </w:r>
    </w:p>
    <w:p>
      <w:pPr>
        <w:pStyle w:val="10"/>
        <w:keepNext w:val="0"/>
        <w:keepLines w:val="0"/>
        <w:pageBreakBefore w:val="0"/>
        <w:widowControl/>
        <w:kinsoku/>
        <w:wordWrap/>
        <w:overflowPunct/>
        <w:topLinePunct w:val="0"/>
        <w:autoSpaceDE/>
        <w:autoSpaceDN/>
        <w:bidi w:val="0"/>
        <w:adjustRightInd/>
        <w:snapToGrid/>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lang w:val="en-US" w:eastAsia="zh-CN"/>
        </w:rPr>
        <w:t>陈女士</w:t>
      </w:r>
    </w:p>
    <w:p>
      <w:pPr>
        <w:pStyle w:val="10"/>
        <w:keepNext w:val="0"/>
        <w:keepLines w:val="0"/>
        <w:pageBreakBefore w:val="0"/>
        <w:widowControl/>
        <w:kinsoku/>
        <w:wordWrap/>
        <w:overflowPunct/>
        <w:topLinePunct w:val="0"/>
        <w:autoSpaceDE/>
        <w:autoSpaceDN/>
        <w:bidi w:val="0"/>
        <w:adjustRightInd/>
        <w:snapToGrid/>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lang w:val="en-US" w:eastAsia="zh-CN"/>
        </w:rPr>
        <w:t>0595-22683717/13595953322</w:t>
      </w:r>
    </w:p>
    <w:p>
      <w:pPr>
        <w:pStyle w:val="5"/>
        <w:spacing w:line="240" w:lineRule="auto"/>
        <w:ind w:left="0" w:leftChars="0" w:firstLine="0" w:firstLineChars="0"/>
        <w:rPr>
          <w:rFonts w:hint="eastAsia" w:ascii="宋体" w:hAnsi="宋体" w:cs="宋体"/>
          <w:b/>
          <w:bCs/>
          <w:color w:val="auto"/>
          <w:sz w:val="24"/>
          <w:lang w:val="en-US" w:eastAsia="zh-CN"/>
        </w:rPr>
      </w:pPr>
    </w:p>
    <w:p>
      <w:pPr>
        <w:rPr>
          <w:color w:val="auto"/>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81DE21"/>
    <w:multiLevelType w:val="singleLevel"/>
    <w:tmpl w:val="4C81DE2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wMTM2NWIwMWJiMGVjN2MwZTNlYjI3YTNiNzkzMTcifQ=="/>
  </w:docVars>
  <w:rsids>
    <w:rsidRoot w:val="1C4C32C5"/>
    <w:rsid w:val="0D290B9A"/>
    <w:rsid w:val="1C4C32C5"/>
    <w:rsid w:val="455E6F54"/>
    <w:rsid w:val="548A339B"/>
    <w:rsid w:val="6B5B79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index 4"/>
    <w:basedOn w:val="1"/>
    <w:next w:val="1"/>
    <w:unhideWhenUsed/>
    <w:qFormat/>
    <w:uiPriority w:val="99"/>
    <w:pPr>
      <w:ind w:left="600" w:leftChars="600"/>
    </w:pPr>
    <w:rPr>
      <w:rFonts w:ascii="Verdana" w:hAnsi="Verdana"/>
      <w:szCs w:val="20"/>
    </w:rPr>
  </w:style>
  <w:style w:type="paragraph" w:styleId="4">
    <w:name w:val="Normal (Web)"/>
    <w:basedOn w:val="1"/>
    <w:qFormat/>
    <w:uiPriority w:val="99"/>
    <w:pPr>
      <w:spacing w:before="100" w:beforeAutospacing="1" w:after="100" w:afterAutospacing="1"/>
      <w:ind w:left="0" w:right="0"/>
      <w:jc w:val="left"/>
    </w:pPr>
    <w:rPr>
      <w:kern w:val="0"/>
      <w:sz w:val="24"/>
    </w:rPr>
  </w:style>
  <w:style w:type="paragraph" w:styleId="5">
    <w:name w:val="Body Text First Indent 2"/>
    <w:basedOn w:val="2"/>
    <w:next w:val="1"/>
    <w:qFormat/>
    <w:uiPriority w:val="0"/>
    <w:pPr>
      <w:spacing w:after="0" w:line="500" w:lineRule="exact"/>
      <w:ind w:left="0" w:leftChars="0" w:right="-84" w:firstLine="42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null3"/>
    <w:qFormat/>
    <w:uiPriority w:val="0"/>
    <w:rPr>
      <w:rFonts w:hint="eastAsia" w:ascii="Calibri" w:hAnsi="Calibri" w:eastAsia="宋体" w:cs="Times New Roman"/>
      <w:lang w:val="en-US" w:eastAsia="zh-Han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1762</Words>
  <Characters>1980</Characters>
  <Lines>0</Lines>
  <Paragraphs>0</Paragraphs>
  <TotalTime>19</TotalTime>
  <ScaleCrop>false</ScaleCrop>
  <LinksUpToDate>false</LinksUpToDate>
  <CharactersWithSpaces>1992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2025-11-05T07:53:00Z</dcterms:created>
  <dc:creator>臻信达-Mrs 黄</dc:creator>
  <cp:lastModifiedBy>Sdaring</cp:lastModifiedBy>
  <dcterms:modified xsi:type="dcterms:W3CDTF">2025-11-05T08:58:05Z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FFF2E7FC67414CAFAE5FDED75C841013_13</vt:lpwstr>
  </property>
  <property fmtid="{D5CDD505-2E9C-101B-9397-08002B2CF9AE}" pid="4" name="KSOTemplateDocerSaveRecord">
    <vt:lpwstr>eyJoZGlkIjoiYjJjOTQxYzhjODMyMDAzZmE0MDJkMWFkNmJlNDkwYTUiLCJ1c2VySWQiOiIxNjE4MzQxMzQ5In0=</vt:lpwstr>
  </property>
</Properties>
</file>