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75" w:afterAutospacing="0"/>
        <w:jc w:val="center"/>
        <w:rPr>
          <w:rFonts w:hint="eastAsia" w:ascii="宋体" w:hAnsi="宋体" w:cs="宋体"/>
          <w:b/>
          <w:bCs/>
          <w:lang w:eastAsia="zh-CN"/>
        </w:rPr>
      </w:pPr>
      <w:r>
        <w:rPr>
          <w:rStyle w:val="7"/>
          <w:rFonts w:hint="eastAsia" w:ascii="宋体" w:hAnsi="宋体" w:cs="宋体"/>
          <w:sz w:val="32"/>
          <w:szCs w:val="32"/>
          <w:lang w:val="en-US" w:eastAsia="zh-CN"/>
        </w:rPr>
        <w:t>南安市医院放射长骨拼接系统采购项目</w:t>
      </w:r>
      <w:r>
        <w:rPr>
          <w:rStyle w:val="7"/>
          <w:rFonts w:hint="eastAsia" w:ascii="宋体" w:hAnsi="宋体" w:cs="宋体"/>
          <w:sz w:val="32"/>
          <w:szCs w:val="32"/>
        </w:rPr>
        <w:t>采购公告</w:t>
      </w:r>
    </w:p>
    <w:p>
      <w:pPr>
        <w:pStyle w:val="3"/>
        <w:widowControl/>
        <w:spacing w:before="0" w:beforeAutospacing="0" w:after="0" w:afterAutospacing="0" w:line="440" w:lineRule="exact"/>
        <w:ind w:firstLine="480" w:firstLineChars="200"/>
        <w:rPr>
          <w:rFonts w:hint="eastAsia" w:eastAsia="宋体"/>
          <w:highlight w:val="none"/>
          <w:lang w:eastAsia="zh-CN"/>
        </w:rPr>
      </w:pPr>
      <w:r>
        <w:rPr>
          <w:rFonts w:hint="eastAsia" w:ascii="宋体" w:hAnsi="宋体" w:cs="宋体"/>
        </w:rPr>
        <w:t>采购人</w:t>
      </w:r>
      <w:r>
        <w:rPr>
          <w:rFonts w:hint="eastAsia" w:ascii="宋体" w:hAnsi="宋体" w:cs="宋体"/>
          <w:b/>
          <w:bCs/>
          <w:spacing w:val="-6"/>
          <w:u w:val="single"/>
          <w:lang w:eastAsia="zh-CN"/>
        </w:rPr>
        <w:t>南安市医院</w:t>
      </w:r>
      <w:r>
        <w:rPr>
          <w:rFonts w:hint="eastAsia" w:ascii="宋体" w:hAnsi="宋体" w:cs="宋体"/>
        </w:rPr>
        <w:t>已参照政府采购相关法律法规，经相应程序确定采用</w:t>
      </w:r>
      <w:r>
        <w:rPr>
          <w:rFonts w:hint="eastAsia" w:ascii="宋体" w:hAnsi="宋体" w:cs="宋体"/>
          <w:u w:val="single"/>
        </w:rPr>
        <w:t>竞争性谈判</w:t>
      </w:r>
      <w:r>
        <w:rPr>
          <w:rFonts w:hint="eastAsia" w:ascii="宋体" w:hAnsi="宋体" w:cs="宋体"/>
        </w:rPr>
        <w:t>方式组织</w:t>
      </w:r>
      <w:r>
        <w:rPr>
          <w:rFonts w:hint="eastAsia" w:ascii="宋体" w:hAnsi="宋体" w:cs="宋体"/>
          <w:b/>
          <w:bCs/>
          <w:spacing w:val="-6"/>
          <w:highlight w:val="none"/>
          <w:u w:val="single"/>
          <w:lang w:val="en-US" w:eastAsia="zh-CN"/>
        </w:rPr>
        <w:t>南安市医院放射长骨拼接系统采购项目</w:t>
      </w:r>
      <w:r>
        <w:rPr>
          <w:rFonts w:hint="eastAsia" w:ascii="宋体" w:hAnsi="宋体" w:cs="宋体"/>
          <w:highlight w:val="none"/>
        </w:rPr>
        <w:t>（以下简称：“本项目”）的采购活动</w:t>
      </w:r>
      <w:r>
        <w:rPr>
          <w:rFonts w:hint="eastAsia" w:ascii="宋体" w:hAnsi="宋体" w:cs="宋体"/>
          <w:highlight w:val="none"/>
          <w:lang w:eastAsia="zh-CN"/>
        </w:rPr>
        <w:t>，现欢迎国内合格的供应商前来参加</w:t>
      </w:r>
      <w:r>
        <w:rPr>
          <w:rFonts w:hint="eastAsia" w:ascii="宋体" w:hAnsi="宋体" w:cs="宋体"/>
          <w:highlight w:val="none"/>
        </w:rPr>
        <w:t>。本项目由采购人委托</w:t>
      </w:r>
      <w:r>
        <w:rPr>
          <w:rFonts w:hint="eastAsia" w:ascii="宋体" w:hAnsi="宋体" w:cs="宋体"/>
          <w:highlight w:val="none"/>
          <w:u w:val="single"/>
          <w:lang w:eastAsia="zh-CN"/>
        </w:rPr>
        <w:t>福建省臻信达项目管理有限公司</w:t>
      </w:r>
      <w:r>
        <w:rPr>
          <w:rFonts w:hint="eastAsia" w:ascii="宋体" w:hAnsi="宋体" w:cs="宋体"/>
          <w:highlight w:val="none"/>
        </w:rPr>
        <w:t>开展竞争性谈判活动</w:t>
      </w:r>
      <w:r>
        <w:rPr>
          <w:rFonts w:hint="eastAsia" w:ascii="宋体" w:hAnsi="宋体" w:cs="宋体"/>
          <w:highlight w:val="none"/>
          <w:lang w:eastAsia="zh-CN"/>
        </w:rPr>
        <w:t>。</w:t>
      </w:r>
    </w:p>
    <w:p>
      <w:pPr>
        <w:pStyle w:val="3"/>
        <w:widowControl/>
        <w:numPr>
          <w:ilvl w:val="0"/>
          <w:numId w:val="1"/>
        </w:numPr>
        <w:spacing w:before="0" w:beforeAutospacing="0" w:after="0" w:afterAutospacing="0" w:line="440" w:lineRule="exact"/>
        <w:ind w:firstLine="482" w:firstLineChars="200"/>
        <w:rPr>
          <w:rFonts w:hint="eastAsia" w:ascii="宋体" w:hAnsi="宋体" w:cs="宋体"/>
          <w:highlight w:val="none"/>
          <w:lang w:eastAsia="zh-CN"/>
        </w:rPr>
      </w:pPr>
      <w:r>
        <w:rPr>
          <w:rFonts w:hint="eastAsia" w:ascii="宋体" w:hAnsi="宋体" w:cs="宋体"/>
          <w:b/>
          <w:bCs/>
          <w:highlight w:val="none"/>
          <w:shd w:val="clear" w:color="auto" w:fill="FFFFFF"/>
        </w:rPr>
        <w:t>项目名称：</w:t>
      </w:r>
      <w:r>
        <w:rPr>
          <w:rFonts w:hint="eastAsia" w:ascii="宋体" w:hAnsi="宋体" w:cs="宋体"/>
          <w:highlight w:val="none"/>
          <w:lang w:val="en-US" w:eastAsia="zh-CN"/>
        </w:rPr>
        <w:t>南安市医院放射长骨拼接系统采购项目</w:t>
      </w:r>
    </w:p>
    <w:p>
      <w:pPr>
        <w:pStyle w:val="3"/>
        <w:widowControl/>
        <w:numPr>
          <w:ilvl w:val="0"/>
          <w:numId w:val="1"/>
        </w:numPr>
        <w:spacing w:before="0" w:beforeAutospacing="0" w:after="0" w:afterAutospacing="0" w:line="440" w:lineRule="exact"/>
        <w:ind w:firstLine="482" w:firstLineChars="200"/>
        <w:rPr>
          <w:rFonts w:hint="eastAsia" w:ascii="宋体" w:hAnsi="宋体" w:cs="宋体"/>
          <w:highlight w:val="none"/>
          <w:lang w:eastAsia="zh-CN"/>
        </w:rPr>
      </w:pPr>
      <w:r>
        <w:rPr>
          <w:rFonts w:hint="eastAsia" w:ascii="宋体" w:hAnsi="宋体" w:cs="宋体"/>
          <w:b/>
          <w:bCs/>
          <w:highlight w:val="none"/>
          <w:shd w:val="clear" w:color="auto" w:fill="FFFFFF"/>
        </w:rPr>
        <w:t>项目编号：</w:t>
      </w:r>
      <w:r>
        <w:rPr>
          <w:rFonts w:hint="eastAsia" w:ascii="宋体" w:hAnsi="宋体" w:cs="宋体"/>
          <w:highlight w:val="none"/>
          <w:lang w:eastAsia="zh-CN"/>
        </w:rPr>
        <w:t>FJSZXD-QZ20251105</w:t>
      </w:r>
    </w:p>
    <w:p>
      <w:pPr>
        <w:pStyle w:val="3"/>
        <w:widowControl/>
        <w:numPr>
          <w:ilvl w:val="0"/>
          <w:numId w:val="1"/>
        </w:numPr>
        <w:spacing w:before="0" w:beforeAutospacing="0" w:after="0" w:afterAutospacing="0" w:line="440" w:lineRule="exact"/>
        <w:ind w:firstLine="480" w:firstLineChars="200"/>
        <w:rPr>
          <w:rFonts w:hint="eastAsia" w:ascii="宋体" w:hAnsi="宋体" w:cs="宋体"/>
          <w:highlight w:val="none"/>
          <w:lang w:eastAsia="zh-CN"/>
        </w:rPr>
      </w:pPr>
      <w:r>
        <w:rPr>
          <w:rFonts w:hint="eastAsia" w:ascii="宋体" w:hAnsi="宋体" w:cs="宋体"/>
          <w:highlight w:val="none"/>
          <w:lang w:eastAsia="zh-CN"/>
        </w:rPr>
        <w:t>采购内容及要求：</w:t>
      </w:r>
    </w:p>
    <w:tbl>
      <w:tblPr>
        <w:tblStyle w:val="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0"/>
        <w:gridCol w:w="2307"/>
        <w:gridCol w:w="1849"/>
        <w:gridCol w:w="925"/>
        <w:gridCol w:w="969"/>
        <w:gridCol w:w="88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5"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序号</w:t>
            </w:r>
          </w:p>
        </w:tc>
        <w:tc>
          <w:tcPr>
            <w:tcW w:w="1354"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标的名称</w:t>
            </w:r>
          </w:p>
        </w:tc>
        <w:tc>
          <w:tcPr>
            <w:tcW w:w="1085"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标的金额 （元）</w:t>
            </w:r>
          </w:p>
        </w:tc>
        <w:tc>
          <w:tcPr>
            <w:tcW w:w="543"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数量</w:t>
            </w:r>
          </w:p>
        </w:tc>
        <w:tc>
          <w:tcPr>
            <w:tcW w:w="569"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单位</w:t>
            </w:r>
          </w:p>
        </w:tc>
        <w:tc>
          <w:tcPr>
            <w:tcW w:w="520"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default" w:eastAsia="宋体"/>
                <w:highlight w:val="none"/>
                <w:vertAlign w:val="baseline"/>
                <w:lang w:val="en-US" w:eastAsia="zh-CN"/>
              </w:rPr>
            </w:pPr>
            <w:r>
              <w:rPr>
                <w:rFonts w:hint="eastAsia" w:ascii="宋体" w:hAnsi="宋体" w:eastAsia="宋体" w:cs="宋体"/>
                <w:sz w:val="24"/>
                <w:szCs w:val="24"/>
                <w:highlight w:val="none"/>
                <w:lang w:val="en-US" w:eastAsia="zh-CN"/>
              </w:rPr>
              <w:t>允许进口</w:t>
            </w:r>
          </w:p>
        </w:tc>
        <w:tc>
          <w:tcPr>
            <w:tcW w:w="1025" w:type="dxa"/>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5"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highlight w:val="none"/>
                <w:vertAlign w:val="baseline"/>
              </w:rPr>
            </w:pPr>
            <w:r>
              <w:rPr>
                <w:rFonts w:hint="eastAsia" w:ascii="宋体" w:hAnsi="宋体" w:eastAsia="宋体" w:cs="宋体"/>
                <w:sz w:val="24"/>
                <w:szCs w:val="24"/>
                <w:highlight w:val="none"/>
              </w:rPr>
              <w:t>1</w:t>
            </w:r>
          </w:p>
        </w:tc>
        <w:tc>
          <w:tcPr>
            <w:tcW w:w="1354"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sz w:val="24"/>
                <w:szCs w:val="24"/>
                <w:highlight w:val="none"/>
                <w:vertAlign w:val="baseline"/>
              </w:rPr>
            </w:pPr>
            <w:r>
              <w:rPr>
                <w:rFonts w:hint="eastAsia"/>
                <w:sz w:val="24"/>
                <w:szCs w:val="24"/>
                <w:highlight w:val="none"/>
                <w:vertAlign w:val="baseline"/>
                <w:lang w:val="en-US" w:eastAsia="zh-CN"/>
              </w:rPr>
              <w:t>南安市医院放射长骨拼接系统采购项目</w:t>
            </w:r>
          </w:p>
        </w:tc>
        <w:tc>
          <w:tcPr>
            <w:tcW w:w="1085"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default" w:eastAsia="宋体"/>
                <w:sz w:val="24"/>
                <w:szCs w:val="24"/>
                <w:highlight w:val="none"/>
                <w:vertAlign w:val="baseline"/>
                <w:lang w:val="en-US" w:eastAsia="zh-CN"/>
              </w:rPr>
            </w:pPr>
            <w:r>
              <w:rPr>
                <w:rFonts w:hint="eastAsia" w:eastAsia="宋体"/>
                <w:sz w:val="24"/>
                <w:szCs w:val="24"/>
                <w:highlight w:val="none"/>
                <w:vertAlign w:val="baseline"/>
                <w:lang w:val="en-US" w:eastAsia="zh-CN"/>
              </w:rPr>
              <w:t>230000.00</w:t>
            </w:r>
          </w:p>
        </w:tc>
        <w:tc>
          <w:tcPr>
            <w:tcW w:w="543"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sz w:val="24"/>
                <w:szCs w:val="24"/>
                <w:highlight w:val="none"/>
                <w:vertAlign w:val="baseline"/>
              </w:rPr>
            </w:pPr>
            <w:r>
              <w:rPr>
                <w:rFonts w:hint="eastAsia" w:ascii="宋体" w:hAnsi="宋体" w:eastAsia="宋体" w:cs="宋体"/>
                <w:sz w:val="24"/>
                <w:szCs w:val="24"/>
                <w:highlight w:val="none"/>
                <w:lang w:eastAsia="zh-CN"/>
              </w:rPr>
              <w:t>1</w:t>
            </w:r>
          </w:p>
        </w:tc>
        <w:tc>
          <w:tcPr>
            <w:tcW w:w="569"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eastAsia="宋体"/>
                <w:sz w:val="24"/>
                <w:szCs w:val="24"/>
                <w:highlight w:val="none"/>
                <w:vertAlign w:val="baseline"/>
                <w:lang w:eastAsia="zh-CN"/>
              </w:rPr>
            </w:pPr>
            <w:r>
              <w:rPr>
                <w:rFonts w:hint="eastAsia"/>
                <w:sz w:val="24"/>
                <w:szCs w:val="24"/>
                <w:highlight w:val="none"/>
                <w:vertAlign w:val="baseline"/>
                <w:lang w:val="en-US" w:eastAsia="zh-CN"/>
              </w:rPr>
              <w:t>套</w:t>
            </w:r>
          </w:p>
        </w:tc>
        <w:tc>
          <w:tcPr>
            <w:tcW w:w="520" w:type="pct"/>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eastAsia="宋体"/>
                <w:sz w:val="24"/>
                <w:szCs w:val="24"/>
                <w:highlight w:val="none"/>
                <w:vertAlign w:val="baseline"/>
                <w:lang w:eastAsia="zh-CN"/>
              </w:rPr>
            </w:pPr>
            <w:r>
              <w:rPr>
                <w:rFonts w:hint="eastAsia"/>
                <w:sz w:val="24"/>
                <w:szCs w:val="24"/>
                <w:highlight w:val="none"/>
                <w:vertAlign w:val="baseline"/>
                <w:lang w:val="en-US" w:eastAsia="zh-CN"/>
              </w:rPr>
              <w:t>否</w:t>
            </w:r>
          </w:p>
        </w:tc>
        <w:tc>
          <w:tcPr>
            <w:tcW w:w="1025" w:type="dxa"/>
            <w:noWrap w:val="0"/>
            <w:vAlign w:val="center"/>
          </w:tcPr>
          <w:p>
            <w:pPr>
              <w:pStyle w:val="8"/>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sz w:val="24"/>
                <w:szCs w:val="24"/>
                <w:highlight w:val="none"/>
                <w:vertAlign w:val="baseline"/>
                <w:lang w:val="en-US" w:eastAsia="zh-CN"/>
              </w:rPr>
            </w:pPr>
            <w:r>
              <w:rPr>
                <w:rFonts w:hint="eastAsia"/>
                <w:sz w:val="24"/>
                <w:szCs w:val="24"/>
                <w:highlight w:val="none"/>
                <w:vertAlign w:val="baseline"/>
                <w:lang w:val="en-US" w:eastAsia="zh-CN"/>
              </w:rPr>
              <w:t>工业</w:t>
            </w:r>
          </w:p>
        </w:tc>
      </w:tr>
    </w:tbl>
    <w:p>
      <w:pPr>
        <w:pStyle w:val="3"/>
        <w:widowControl/>
        <w:spacing w:before="0" w:beforeAutospacing="0" w:after="0" w:afterAutospacing="0" w:line="440" w:lineRule="exact"/>
        <w:ind w:firstLine="482" w:firstLineChars="200"/>
        <w:rPr>
          <w:rFonts w:hint="eastAsia" w:ascii="宋体" w:hAnsi="宋体" w:cs="宋体"/>
          <w:b/>
          <w:bCs/>
          <w:shd w:val="clear" w:color="auto" w:fill="FFFFFF"/>
        </w:rPr>
      </w:pPr>
      <w:r>
        <w:rPr>
          <w:rFonts w:hint="eastAsia" w:ascii="宋体" w:hAnsi="宋体" w:cs="宋体"/>
          <w:b/>
          <w:bCs/>
          <w:shd w:val="clear" w:color="auto" w:fill="FFFFFF"/>
        </w:rPr>
        <w:t>四、采购项目需要落实的政府采购政策：</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进口产品：</w:t>
      </w:r>
      <w:r>
        <w:rPr>
          <w:rFonts w:hint="eastAsia" w:ascii="宋体" w:hAnsi="宋体" w:eastAsia="宋体" w:cs="宋体"/>
          <w:color w:val="auto"/>
          <w:sz w:val="24"/>
          <w:highlight w:val="none"/>
          <w:lang w:val="en-US" w:eastAsia="zh-CN"/>
        </w:rPr>
        <w:t>不</w:t>
      </w:r>
      <w:r>
        <w:rPr>
          <w:rFonts w:hint="eastAsia" w:ascii="宋体" w:hAnsi="宋体" w:eastAsia="宋体" w:cs="宋体"/>
          <w:color w:val="auto"/>
          <w:sz w:val="24"/>
          <w:highlight w:val="none"/>
        </w:rPr>
        <w:t>适用于本项目</w:t>
      </w:r>
    </w:p>
    <w:p>
      <w:pPr>
        <w:spacing w:line="360" w:lineRule="auto"/>
        <w:ind w:firstLine="48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节能产品：</w:t>
      </w:r>
      <w:r>
        <w:rPr>
          <w:rFonts w:hint="eastAsia" w:ascii="宋体" w:hAnsi="宋体" w:eastAsia="宋体" w:cs="宋体"/>
          <w:color w:val="auto"/>
          <w:sz w:val="24"/>
          <w:highlight w:val="none"/>
          <w:lang w:val="en-US" w:eastAsia="zh-CN"/>
        </w:rPr>
        <w:t>不适用</w:t>
      </w:r>
    </w:p>
    <w:p>
      <w:pPr>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环境标志产品：</w:t>
      </w:r>
      <w:r>
        <w:rPr>
          <w:rFonts w:hint="eastAsia" w:ascii="宋体" w:hAnsi="宋体" w:eastAsia="宋体" w:cs="宋体"/>
          <w:color w:val="auto"/>
          <w:sz w:val="24"/>
          <w:highlight w:val="none"/>
          <w:lang w:val="en-US" w:eastAsia="zh-CN"/>
        </w:rPr>
        <w:t>不适用</w:t>
      </w:r>
    </w:p>
    <w:p>
      <w:pPr>
        <w:spacing w:line="360" w:lineRule="auto"/>
        <w:ind w:firstLine="480"/>
        <w:rPr>
          <w:rFonts w:hint="eastAsia" w:ascii="宋体" w:hAnsi="宋体" w:eastAsia="宋体" w:cs="宋体"/>
          <w:color w:val="auto"/>
          <w:sz w:val="24"/>
          <w:highlight w:val="none"/>
        </w:rPr>
      </w:pPr>
      <w:r>
        <w:rPr>
          <w:rFonts w:hint="eastAsia" w:ascii="宋体" w:hAnsi="宋体" w:eastAsia="宋体" w:cs="宋体"/>
          <w:color w:val="auto"/>
          <w:sz w:val="24"/>
          <w:highlight w:val="none"/>
        </w:rPr>
        <w:t>信用记录：适用于本项目，按照下列规定执行：（1）供应商可在提交响应文件截止时间前分别通过“信用中国”网站（www.creditchina.gov.cn）、中国政府采购网（www.ccgp.gov.cn）查询并打印相应的信用记录（以下简称：“供应商提供的查询结果”），供应商提供的查询结果应为其通过上述网站获取的信用信息查询结果原始页面的打印件（或截图）。（2）查询结果的审查：①由</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小组通过上述网站查询并打印供应商信用记录（以下简称：“</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小组的查询结果”）。②供应商提供的查询结果与</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小组的查询结果不一致的，以</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小组的查询结果为准。③因上述网站原因导致</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小组无法查询供应商信用记录的（</w:t>
      </w:r>
      <w:r>
        <w:rPr>
          <w:rFonts w:hint="eastAsia" w:ascii="宋体" w:hAnsi="宋体" w:eastAsia="宋体" w:cs="宋体"/>
          <w:color w:val="auto"/>
          <w:sz w:val="24"/>
          <w:highlight w:val="none"/>
          <w:lang w:val="en-US" w:eastAsia="zh-CN"/>
        </w:rPr>
        <w:t>谈判</w:t>
      </w:r>
      <w:r>
        <w:rPr>
          <w:rFonts w:hint="eastAsia" w:ascii="宋体" w:hAnsi="宋体" w:eastAsia="宋体" w:cs="宋体"/>
          <w:color w:val="auto"/>
          <w:sz w:val="24"/>
          <w:highlight w:val="none"/>
        </w:rPr>
        <w:t>小组应将通过上述网站查询供应商信用记录时的原始页面打印后随采购文件一并存档），以供应商提供的查询结果为准。④查询结果存在供应商应被拒绝参与政府采购活动相关信息的，其资格审查不合格。</w:t>
      </w:r>
    </w:p>
    <w:p>
      <w:pPr>
        <w:pStyle w:val="8"/>
        <w:spacing w:line="360" w:lineRule="auto"/>
        <w:ind w:firstLine="48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促进中小企业发展的相关政策：</w:t>
      </w:r>
      <w:r>
        <w:rPr>
          <w:rFonts w:hint="eastAsia" w:ascii="宋体" w:hAnsi="宋体" w:eastAsia="宋体" w:cs="宋体"/>
          <w:color w:val="auto"/>
          <w:sz w:val="24"/>
          <w:szCs w:val="24"/>
          <w:highlight w:val="none"/>
          <w:lang w:val="en-US" w:eastAsia="zh-CN"/>
        </w:rPr>
        <w:t>不</w:t>
      </w:r>
      <w:r>
        <w:rPr>
          <w:rFonts w:hint="eastAsia" w:ascii="宋体" w:hAnsi="宋体" w:eastAsia="宋体" w:cs="宋体"/>
          <w:color w:val="auto"/>
          <w:sz w:val="24"/>
          <w:szCs w:val="24"/>
          <w:highlight w:val="none"/>
        </w:rPr>
        <w:t>专门面向中小企业</w:t>
      </w:r>
    </w:p>
    <w:p>
      <w:pPr>
        <w:pStyle w:val="3"/>
        <w:widowControl/>
        <w:spacing w:before="0" w:beforeAutospacing="0" w:after="0" w:afterAutospacing="0" w:line="440" w:lineRule="exact"/>
        <w:ind w:firstLine="482" w:firstLineChars="200"/>
        <w:rPr>
          <w:rFonts w:hint="eastAsia" w:ascii="宋体" w:hAnsi="宋体" w:cs="宋体"/>
          <w:b/>
          <w:bCs/>
        </w:rPr>
      </w:pPr>
      <w:r>
        <w:rPr>
          <w:rFonts w:hint="eastAsia" w:ascii="宋体" w:hAnsi="宋体" w:cs="宋体"/>
          <w:b/>
          <w:bCs/>
        </w:rPr>
        <w:t>五、供应商的资格要求</w:t>
      </w:r>
    </w:p>
    <w:p>
      <w:pPr>
        <w:pStyle w:val="3"/>
        <w:widowControl/>
        <w:spacing w:before="0" w:beforeAutospacing="0" w:after="0" w:afterAutospacing="0" w:line="440" w:lineRule="exact"/>
        <w:ind w:firstLine="480" w:firstLineChars="200"/>
        <w:rPr>
          <w:rFonts w:hint="eastAsia" w:ascii="宋体" w:hAnsi="宋体" w:cs="宋体"/>
        </w:rPr>
      </w:pPr>
      <w:r>
        <w:rPr>
          <w:rFonts w:hint="eastAsia" w:ascii="宋体" w:hAnsi="宋体" w:cs="宋体"/>
          <w:shd w:val="clear" w:color="auto" w:fill="FFFFFF"/>
        </w:rPr>
        <w:t>（一）法定条件：符合《中华人民共和国政府采购法》第二十二条第一款规定的条件。</w:t>
      </w:r>
    </w:p>
    <w:p>
      <w:pPr>
        <w:pStyle w:val="3"/>
        <w:widowControl/>
        <w:spacing w:before="0" w:beforeAutospacing="0" w:after="0" w:afterAutospacing="0" w:line="440" w:lineRule="exact"/>
        <w:ind w:firstLine="480" w:firstLineChars="200"/>
        <w:rPr>
          <w:rFonts w:hint="eastAsia" w:ascii="宋体" w:hAnsi="宋体" w:cs="宋体"/>
          <w:shd w:val="clear" w:color="auto" w:fill="FFFFFF"/>
          <w:vertAlign w:val="baseline"/>
        </w:rPr>
      </w:pPr>
      <w:r>
        <w:rPr>
          <w:rFonts w:hint="eastAsia" w:ascii="宋体" w:hAnsi="宋体" w:cs="宋体"/>
          <w:shd w:val="clear" w:color="auto" w:fill="FFFFFF"/>
        </w:rPr>
        <w:t>（二）特定条件：</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5"/>
        <w:gridCol w:w="5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noWrap w:val="0"/>
            <w:vAlign w:val="center"/>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shd w:val="clear" w:color="auto" w:fill="FFFFFF"/>
                <w:vertAlign w:val="baseline"/>
              </w:rPr>
            </w:pPr>
            <w:r>
              <w:rPr>
                <w:rFonts w:hint="eastAsia" w:ascii="宋体" w:hAnsi="宋体" w:eastAsia="宋体" w:cs="宋体"/>
                <w:color w:val="auto"/>
                <w:sz w:val="24"/>
                <w:szCs w:val="24"/>
                <w:highlight w:val="none"/>
              </w:rPr>
              <w:t>资格审查要求概况</w:t>
            </w:r>
          </w:p>
        </w:tc>
        <w:tc>
          <w:tcPr>
            <w:tcW w:w="6205" w:type="dxa"/>
            <w:noWrap w:val="0"/>
            <w:vAlign w:val="top"/>
          </w:tcPr>
          <w:p>
            <w:pPr>
              <w:pStyle w:val="8"/>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宋体"/>
                <w:shd w:val="clear" w:color="auto" w:fill="FFFFFF"/>
                <w:vertAlign w:val="baseline"/>
              </w:rPr>
            </w:pPr>
            <w:r>
              <w:rPr>
                <w:rFonts w:hint="eastAsia" w:ascii="宋体" w:hAnsi="宋体" w:eastAsia="宋体" w:cs="宋体"/>
                <w:color w:val="auto"/>
                <w:sz w:val="24"/>
                <w:szCs w:val="24"/>
                <w:highlight w:val="none"/>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noWrap w:val="0"/>
            <w:vAlign w:val="center"/>
          </w:tcPr>
          <w:p>
            <w:pPr>
              <w:widowControl/>
              <w:jc w:val="left"/>
              <w:rPr>
                <w:rFonts w:hint="eastAsia" w:ascii="宋体" w:hAnsi="宋体" w:cs="宋体"/>
                <w:kern w:val="0"/>
                <w:sz w:val="24"/>
                <w:lang w:bidi="ar"/>
              </w:rPr>
            </w:pPr>
            <w:r>
              <w:rPr>
                <w:rFonts w:hint="eastAsia" w:ascii="宋体" w:hAnsi="宋体" w:eastAsia="宋体" w:cs="宋体"/>
                <w:color w:val="auto"/>
                <w:spacing w:val="0"/>
                <w:position w:val="0"/>
                <w:sz w:val="24"/>
                <w:szCs w:val="24"/>
                <w:highlight w:val="none"/>
                <w:u w:val="none"/>
              </w:rPr>
              <w:t>资格承诺函</w:t>
            </w:r>
          </w:p>
        </w:tc>
        <w:tc>
          <w:tcPr>
            <w:tcW w:w="6205" w:type="dxa"/>
            <w:noWrap w:val="0"/>
            <w:vAlign w:val="center"/>
          </w:tcPr>
          <w:p>
            <w:pPr>
              <w:spacing w:before="0" w:after="0" w:line="335" w:lineRule="exact"/>
              <w:ind w:left="22" w:leftChars="0"/>
              <w:jc w:val="left"/>
              <w:rPr>
                <w:rFonts w:hint="eastAsia" w:ascii="宋体" w:hAnsi="宋体" w:cs="宋体"/>
                <w:shd w:val="clear" w:color="auto" w:fill="FFFFFF"/>
                <w:vertAlign w:val="baseline"/>
              </w:rPr>
            </w:pPr>
            <w:r>
              <w:rPr>
                <w:rFonts w:hint="eastAsia" w:ascii="宋体" w:hAnsi="宋体" w:eastAsia="宋体" w:cs="宋体"/>
                <w:color w:val="auto"/>
                <w:spacing w:val="0"/>
                <w:position w:val="0"/>
                <w:sz w:val="24"/>
                <w:szCs w:val="24"/>
                <w:highlight w:val="none"/>
                <w:u w:val="none"/>
              </w:rPr>
              <w:t>采用资格承诺制的供应商，须根据投标(响应)格式文件要求提供资格承诺函，否则，视为未按照招标文件规定提交投标人的资格及资信文件，按资格审查不合格处理。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9" w:type="dxa"/>
            <w:shd w:val="clear" w:color="auto" w:fill="auto"/>
            <w:noWrap w:val="0"/>
            <w:vAlign w:val="center"/>
          </w:tcPr>
          <w:p>
            <w:pPr>
              <w:widowControl/>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特定</w:t>
            </w:r>
            <w:r>
              <w:rPr>
                <w:rFonts w:hint="eastAsia" w:ascii="宋体" w:hAnsi="宋体" w:eastAsia="宋体" w:cs="宋体"/>
                <w:color w:val="auto"/>
                <w:spacing w:val="0"/>
                <w:position w:val="0"/>
                <w:sz w:val="24"/>
                <w:szCs w:val="24"/>
                <w:highlight w:val="none"/>
                <w:u w:val="none"/>
                <w:lang w:val="en-US" w:eastAsia="zh-CN"/>
              </w:rPr>
              <w:t>资格</w:t>
            </w:r>
            <w:r>
              <w:rPr>
                <w:rFonts w:hint="eastAsia" w:ascii="宋体" w:hAnsi="宋体" w:eastAsia="宋体" w:cs="宋体"/>
                <w:color w:val="auto"/>
                <w:spacing w:val="0"/>
                <w:position w:val="0"/>
                <w:sz w:val="24"/>
                <w:szCs w:val="24"/>
                <w:highlight w:val="none"/>
                <w:u w:val="none"/>
              </w:rPr>
              <w:t>条件</w:t>
            </w:r>
          </w:p>
        </w:tc>
        <w:tc>
          <w:tcPr>
            <w:tcW w:w="6205" w:type="dxa"/>
            <w:shd w:val="clear" w:color="auto" w:fill="auto"/>
            <w:noWrap w:val="0"/>
            <w:vAlign w:val="center"/>
          </w:tcPr>
          <w:p>
            <w:pPr>
              <w:spacing w:before="0" w:after="0" w:line="335" w:lineRule="exact"/>
              <w:ind w:left="22" w:leftChars="0"/>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①投标人为生产企业的，从事第一类医疗器械生产的，应</w:t>
            </w:r>
            <w:r>
              <w:rPr>
                <w:rFonts w:hint="eastAsia" w:ascii="宋体" w:hAnsi="宋体" w:eastAsia="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《第一类医疗器械生产备案凭证》；从事第二类、第三类医疗器械生产的，应</w:t>
            </w:r>
            <w:r>
              <w:rPr>
                <w:rFonts w:hint="eastAsia" w:ascii="宋体" w:hAnsi="宋体" w:eastAsia="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《医疗器械生产许可证》或《医疗器械生产企业许可证》。 ②投标人为经营企业的，投标货物若属于二类医疗器械</w:t>
            </w:r>
            <w:r>
              <w:rPr>
                <w:rFonts w:hint="eastAsia" w:ascii="宋体" w:hAnsi="宋体" w:eastAsia="宋体" w:cs="宋体"/>
                <w:color w:val="auto"/>
                <w:spacing w:val="0"/>
                <w:position w:val="0"/>
                <w:sz w:val="24"/>
                <w:szCs w:val="24"/>
                <w:highlight w:val="none"/>
                <w:u w:val="none"/>
                <w:lang w:val="en-US" w:eastAsia="zh-CN"/>
              </w:rPr>
              <w:t>的</w:t>
            </w:r>
            <w:r>
              <w:rPr>
                <w:rFonts w:hint="eastAsia" w:ascii="宋体" w:hAnsi="宋体" w:eastAsia="宋体" w:cs="宋体"/>
                <w:color w:val="auto"/>
                <w:spacing w:val="0"/>
                <w:position w:val="0"/>
                <w:sz w:val="24"/>
                <w:szCs w:val="24"/>
                <w:highlight w:val="none"/>
                <w:u w:val="none"/>
              </w:rPr>
              <w:t>，应</w:t>
            </w:r>
            <w:r>
              <w:rPr>
                <w:rFonts w:hint="eastAsia" w:ascii="宋体" w:hAnsi="宋体" w:eastAsia="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《第二类医疗器械经营备案凭证》或《医疗器械经营企业许可证》；投标货物若属于三类医疗器械</w:t>
            </w:r>
            <w:r>
              <w:rPr>
                <w:rFonts w:hint="eastAsia" w:ascii="宋体" w:hAnsi="宋体" w:eastAsia="宋体" w:cs="宋体"/>
                <w:color w:val="auto"/>
                <w:spacing w:val="0"/>
                <w:position w:val="0"/>
                <w:sz w:val="24"/>
                <w:szCs w:val="24"/>
                <w:highlight w:val="none"/>
                <w:u w:val="none"/>
                <w:lang w:val="en-US" w:eastAsia="zh-CN"/>
              </w:rPr>
              <w:t>的</w:t>
            </w:r>
            <w:r>
              <w:rPr>
                <w:rFonts w:hint="eastAsia" w:ascii="宋体" w:hAnsi="宋体" w:eastAsia="宋体" w:cs="宋体"/>
                <w:color w:val="auto"/>
                <w:spacing w:val="0"/>
                <w:position w:val="0"/>
                <w:sz w:val="24"/>
                <w:szCs w:val="24"/>
                <w:highlight w:val="none"/>
                <w:u w:val="none"/>
              </w:rPr>
              <w:t>，应</w:t>
            </w:r>
            <w:r>
              <w:rPr>
                <w:rFonts w:hint="eastAsia" w:ascii="宋体" w:hAnsi="宋体" w:eastAsia="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《医疗器械经营许可证》或《医疗器械经营企业许可证》。 ③投标货物若属于《医疗器械监督管理条例》规定的第一类医疗器械产品应提供《第一类医疗器械备案凭证》，若属于第二类、第三类医疗器械产品应</w:t>
            </w:r>
            <w:r>
              <w:rPr>
                <w:rFonts w:hint="eastAsia" w:ascii="宋体" w:hAnsi="宋体" w:eastAsia="宋体" w:cs="宋体"/>
                <w:color w:val="auto"/>
                <w:spacing w:val="0"/>
                <w:position w:val="0"/>
                <w:sz w:val="24"/>
                <w:szCs w:val="24"/>
                <w:highlight w:val="none"/>
                <w:u w:val="none"/>
                <w:lang w:val="en-US" w:eastAsia="zh-CN"/>
              </w:rPr>
              <w:t>提供</w:t>
            </w:r>
            <w:r>
              <w:rPr>
                <w:rFonts w:hint="eastAsia" w:ascii="宋体" w:hAnsi="宋体" w:eastAsia="宋体" w:cs="宋体"/>
                <w:color w:val="auto"/>
                <w:spacing w:val="0"/>
                <w:position w:val="0"/>
                <w:sz w:val="24"/>
                <w:szCs w:val="24"/>
                <w:highlight w:val="none"/>
                <w:u w:val="none"/>
              </w:rPr>
              <w:t>《医疗器械注册证》(如有注册登记表应提供)。</w:t>
            </w:r>
          </w:p>
          <w:p>
            <w:pPr>
              <w:spacing w:before="0" w:after="0" w:line="335" w:lineRule="exact"/>
              <w:ind w:left="22" w:leftChars="0"/>
              <w:jc w:val="left"/>
              <w:rPr>
                <w:rFonts w:hint="eastAsia" w:ascii="宋体" w:hAnsi="宋体" w:eastAsia="宋体" w:cs="宋体"/>
                <w:color w:val="auto"/>
                <w:spacing w:val="0"/>
                <w:position w:val="0"/>
                <w:sz w:val="24"/>
                <w:szCs w:val="24"/>
                <w:highlight w:val="none"/>
                <w:u w:val="none"/>
              </w:rPr>
            </w:pPr>
            <w:r>
              <w:rPr>
                <w:rFonts w:hint="eastAsia" w:ascii="宋体" w:hAnsi="宋体" w:eastAsia="宋体" w:cs="宋体"/>
                <w:color w:val="auto"/>
                <w:spacing w:val="0"/>
                <w:position w:val="0"/>
                <w:sz w:val="24"/>
                <w:szCs w:val="24"/>
                <w:highlight w:val="none"/>
                <w:u w:val="none"/>
              </w:rPr>
              <w:t>注：所有资格证明文件复印件须在有效期内。</w:t>
            </w:r>
          </w:p>
        </w:tc>
      </w:tr>
    </w:tbl>
    <w:p>
      <w:pPr>
        <w:pStyle w:val="3"/>
        <w:widowControl/>
        <w:spacing w:before="0" w:beforeAutospacing="0" w:after="0" w:afterAutospacing="0" w:line="440" w:lineRule="exact"/>
        <w:ind w:firstLine="480" w:firstLineChars="200"/>
        <w:rPr>
          <w:rFonts w:hint="eastAsia" w:ascii="宋体" w:hAnsi="宋体" w:cs="宋体"/>
        </w:rPr>
      </w:pPr>
      <w:r>
        <w:rPr>
          <w:rFonts w:hint="eastAsia" w:ascii="宋体" w:hAnsi="宋体" w:cs="宋体"/>
          <w:shd w:val="clear" w:color="auto" w:fill="FFFFFF"/>
        </w:rPr>
        <w:t>（三）是否接受联合体形式的响应谈判：不接受</w:t>
      </w:r>
    </w:p>
    <w:p>
      <w:pPr>
        <w:pStyle w:val="3"/>
        <w:widowControl/>
        <w:spacing w:before="0" w:beforeAutospacing="0" w:after="0" w:afterAutospacing="0" w:line="440" w:lineRule="exact"/>
        <w:ind w:firstLine="482" w:firstLineChars="200"/>
        <w:rPr>
          <w:rFonts w:hint="eastAsia" w:ascii="宋体" w:hAnsi="宋体" w:cs="宋体"/>
        </w:rPr>
      </w:pPr>
      <w:r>
        <w:rPr>
          <w:rStyle w:val="7"/>
          <w:rFonts w:hint="eastAsia" w:ascii="宋体" w:hAnsi="宋体" w:cs="宋体"/>
        </w:rPr>
        <w:t>※</w:t>
      </w:r>
      <w:r>
        <w:rPr>
          <w:rStyle w:val="7"/>
          <w:rFonts w:hint="eastAsia" w:ascii="宋体" w:hAnsi="宋体" w:cs="宋体"/>
          <w:shd w:val="clear" w:color="auto" w:fill="FFFFFF"/>
        </w:rPr>
        <w:t>根据上述资格要求，供应商响应文件中应提交的“资格证明文件”相关规定和资料要求，详见竞争性谈判须知前附表和谈判文件第五章。</w:t>
      </w:r>
    </w:p>
    <w:p>
      <w:pPr>
        <w:shd w:val="clear" w:color="auto" w:fill="FFFFFF"/>
        <w:spacing w:line="440" w:lineRule="exact"/>
        <w:ind w:firstLine="482" w:firstLineChars="200"/>
        <w:rPr>
          <w:rFonts w:hint="eastAsia" w:ascii="宋体" w:hAnsi="宋体" w:cs="宋体"/>
          <w:b/>
          <w:sz w:val="24"/>
          <w:highlight w:val="none"/>
        </w:rPr>
      </w:pPr>
      <w:r>
        <w:rPr>
          <w:rFonts w:hint="eastAsia" w:ascii="宋体" w:hAnsi="宋体" w:cs="宋体"/>
          <w:b/>
          <w:sz w:val="24"/>
        </w:rPr>
        <w:t>六、报</w:t>
      </w:r>
      <w:r>
        <w:rPr>
          <w:rFonts w:hint="eastAsia" w:ascii="宋体" w:hAnsi="宋体" w:cs="宋体"/>
          <w:b/>
          <w:sz w:val="24"/>
          <w:highlight w:val="none"/>
        </w:rPr>
        <w:t>名及谈判文件的获取</w:t>
      </w:r>
    </w:p>
    <w:p>
      <w:pPr>
        <w:pStyle w:val="8"/>
        <w:keepNext w:val="0"/>
        <w:keepLines w:val="0"/>
        <w:pageBreakBefore w:val="0"/>
        <w:widowControl/>
        <w:kinsoku/>
        <w:wordWrap/>
        <w:overflowPunct/>
        <w:topLinePunct w:val="0"/>
        <w:autoSpaceDE/>
        <w:autoSpaceDN/>
        <w:bidi w:val="0"/>
        <w:adjustRightInd/>
        <w:snapToGrid/>
        <w:spacing w:line="400" w:lineRule="exact"/>
        <w:ind w:firstLine="480"/>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.1采购文件的提供期限：</w:t>
      </w:r>
      <w:r>
        <w:rPr>
          <w:rFonts w:hint="eastAsia" w:ascii="宋体" w:hAnsi="宋体" w:eastAsia="宋体" w:cs="宋体"/>
          <w:color w:val="auto"/>
          <w:sz w:val="24"/>
          <w:highlight w:val="none"/>
          <w:lang w:val="en-US" w:eastAsia="zh-CN"/>
        </w:rPr>
        <w:t>2025年11月19日——2025年11月21日</w:t>
      </w:r>
      <w:r>
        <w:rPr>
          <w:rFonts w:hint="eastAsia" w:ascii="宋体" w:hAnsi="宋体" w:eastAsia="宋体" w:cs="宋体"/>
          <w:color w:val="auto"/>
          <w:sz w:val="24"/>
          <w:highlight w:val="none"/>
        </w:rPr>
        <w:t>。</w:t>
      </w:r>
      <w:r>
        <w:rPr>
          <w:rFonts w:hint="eastAsia" w:ascii="宋体" w:hAnsi="宋体" w:eastAsia="宋体" w:cs="宋体"/>
          <w:color w:val="auto"/>
          <w:sz w:val="24"/>
          <w:szCs w:val="24"/>
          <w:highlight w:val="none"/>
        </w:rPr>
        <w:t>详见</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公告或更正公告（若有），若不一致，以更正公告（若有）为准。采购文件的提供期限与</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公告的公告期限保持一致。</w:t>
      </w:r>
    </w:p>
    <w:p>
      <w:pPr>
        <w:pStyle w:val="8"/>
        <w:keepNext w:val="0"/>
        <w:keepLines w:val="0"/>
        <w:pageBreakBefore w:val="0"/>
        <w:widowControl/>
        <w:kinsoku/>
        <w:wordWrap/>
        <w:overflowPunct/>
        <w:topLinePunct w:val="0"/>
        <w:autoSpaceDE/>
        <w:autoSpaceDN/>
        <w:bidi w:val="0"/>
        <w:adjustRightInd/>
        <w:snapToGrid/>
        <w:spacing w:line="400" w:lineRule="exact"/>
        <w:ind w:firstLine="480"/>
        <w:rPr>
          <w:rFonts w:hint="eastAsia" w:ascii="宋体" w:hAnsi="宋体" w:cs="宋体"/>
          <w:sz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.2获取地点及方式：</w:t>
      </w:r>
      <w:r>
        <w:rPr>
          <w:rFonts w:hint="eastAsia" w:ascii="宋体" w:hAnsi="宋体" w:eastAsia="宋体" w:cs="宋体"/>
          <w:b w:val="0"/>
          <w:bCs w:val="0"/>
          <w:color w:val="auto"/>
          <w:sz w:val="24"/>
          <w:szCs w:val="24"/>
          <w:highlight w:val="none"/>
        </w:rPr>
        <w:t>到</w:t>
      </w:r>
      <w:r>
        <w:rPr>
          <w:rFonts w:hint="eastAsia" w:ascii="宋体" w:hAnsi="宋体" w:eastAsia="宋体" w:cs="宋体"/>
          <w:b w:val="0"/>
          <w:bCs w:val="0"/>
          <w:color w:val="auto"/>
          <w:sz w:val="24"/>
          <w:szCs w:val="24"/>
          <w:highlight w:val="none"/>
          <w:shd w:val="clear" w:color="auto" w:fill="FFFFFF"/>
          <w:lang w:eastAsia="zh-CN"/>
        </w:rPr>
        <w:t>福建省臻信达项目管理有限公司</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泉州市丰泽区坪山路441号野兔云谷综合产业园4层4702</w:t>
      </w:r>
      <w:r>
        <w:rPr>
          <w:rFonts w:hint="eastAsia" w:ascii="宋体" w:hAnsi="宋体" w:eastAsia="宋体" w:cs="宋体"/>
          <w:b w:val="0"/>
          <w:bCs w:val="0"/>
          <w:color w:val="auto"/>
          <w:sz w:val="24"/>
          <w:szCs w:val="24"/>
          <w:highlight w:val="none"/>
        </w:rPr>
        <w:t>）</w:t>
      </w:r>
      <w:r>
        <w:rPr>
          <w:rFonts w:hint="eastAsia" w:ascii="宋体" w:hAnsi="宋体" w:cs="宋体"/>
          <w:b w:val="0"/>
          <w:bCs w:val="0"/>
          <w:color w:val="auto"/>
          <w:sz w:val="24"/>
          <w:szCs w:val="24"/>
          <w:highlight w:val="none"/>
          <w:lang w:val="en-US" w:eastAsia="zh-CN"/>
        </w:rPr>
        <w:t>获取谈判</w:t>
      </w:r>
      <w:r>
        <w:rPr>
          <w:rFonts w:hint="eastAsia" w:ascii="宋体" w:hAnsi="宋体" w:eastAsia="宋体" w:cs="宋体"/>
          <w:b w:val="0"/>
          <w:bCs w:val="0"/>
          <w:color w:val="auto"/>
          <w:sz w:val="24"/>
          <w:szCs w:val="24"/>
          <w:highlight w:val="none"/>
        </w:rPr>
        <w:t>文件</w:t>
      </w:r>
      <w:r>
        <w:rPr>
          <w:rFonts w:hint="eastAsia" w:ascii="宋体" w:hAnsi="宋体" w:cs="宋体"/>
          <w:b w:val="0"/>
          <w:bCs w:val="0"/>
          <w:color w:val="auto"/>
          <w:sz w:val="24"/>
          <w:szCs w:val="24"/>
          <w:highlight w:val="none"/>
          <w:lang w:eastAsia="zh-CN"/>
        </w:rPr>
        <w:t>。</w:t>
      </w:r>
    </w:p>
    <w:p>
      <w:pPr>
        <w:shd w:val="clear" w:color="auto" w:fill="FFFFFF"/>
        <w:spacing w:line="440" w:lineRule="exact"/>
        <w:ind w:firstLine="482" w:firstLineChars="200"/>
        <w:rPr>
          <w:rFonts w:hint="eastAsia" w:ascii="宋体" w:hAnsi="宋体" w:cs="宋体"/>
          <w:sz w:val="24"/>
          <w:highlight w:val="none"/>
        </w:rPr>
      </w:pPr>
      <w:r>
        <w:rPr>
          <w:rFonts w:hint="eastAsia" w:ascii="宋体" w:hAnsi="宋体" w:cs="宋体"/>
          <w:b/>
          <w:sz w:val="24"/>
          <w:highlight w:val="none"/>
        </w:rPr>
        <w:t>七、首次响应文件递交截止时间、谈判时间及地点</w:t>
      </w:r>
      <w:r>
        <w:rPr>
          <w:rFonts w:hint="eastAsia" w:ascii="宋体" w:hAnsi="宋体" w:cs="宋体"/>
          <w:sz w:val="24"/>
          <w:highlight w:val="none"/>
        </w:rPr>
        <w:t>：</w:t>
      </w:r>
    </w:p>
    <w:p>
      <w:pPr>
        <w:pStyle w:val="2"/>
        <w:spacing w:line="440" w:lineRule="exact"/>
        <w:ind w:left="0" w:leftChars="0" w:firstLine="424" w:firstLineChars="200"/>
        <w:rPr>
          <w:rFonts w:hint="eastAsia" w:ascii="宋体" w:hAnsi="宋体" w:eastAsia="宋体" w:cs="宋体"/>
          <w:b w:val="0"/>
          <w:bCs w:val="0"/>
          <w:sz w:val="24"/>
          <w:szCs w:val="24"/>
          <w:highlight w:val="none"/>
          <w:lang w:val="en-US" w:eastAsia="zh-CN"/>
        </w:rPr>
      </w:pPr>
      <w:r>
        <w:rPr>
          <w:rFonts w:hint="eastAsia" w:ascii="宋体" w:hAnsi="宋体" w:cs="宋体"/>
          <w:b w:val="0"/>
          <w:bCs w:val="0"/>
          <w:spacing w:val="-14"/>
          <w:sz w:val="24"/>
          <w:szCs w:val="24"/>
          <w:highlight w:val="none"/>
        </w:rPr>
        <w:t>（</w:t>
      </w:r>
      <w:r>
        <w:rPr>
          <w:rFonts w:hint="eastAsia" w:ascii="宋体" w:hAnsi="宋体" w:cs="宋体"/>
          <w:b w:val="0"/>
          <w:bCs w:val="0"/>
          <w:spacing w:val="-14"/>
          <w:sz w:val="24"/>
          <w:szCs w:val="24"/>
          <w:highlight w:val="none"/>
          <w:lang w:val="en-US" w:eastAsia="zh-CN"/>
        </w:rPr>
        <w:t>一</w:t>
      </w:r>
      <w:r>
        <w:rPr>
          <w:rFonts w:hint="eastAsia" w:ascii="宋体" w:hAnsi="宋体" w:cs="宋体"/>
          <w:b w:val="0"/>
          <w:bCs w:val="0"/>
          <w:spacing w:val="-14"/>
          <w:sz w:val="24"/>
          <w:szCs w:val="24"/>
          <w:highlight w:val="none"/>
        </w:rPr>
        <w:t>）</w:t>
      </w:r>
      <w:r>
        <w:rPr>
          <w:rFonts w:hint="eastAsia" w:ascii="宋体" w:hAnsi="宋体" w:eastAsia="宋体" w:cs="宋体"/>
          <w:b w:val="0"/>
          <w:bCs w:val="0"/>
          <w:sz w:val="24"/>
          <w:szCs w:val="24"/>
          <w:highlight w:val="none"/>
          <w:lang w:val="en-US" w:eastAsia="zh-CN"/>
        </w:rPr>
        <w:t>截止时间递交截止时间：2025年11月25日</w:t>
      </w:r>
      <w:r>
        <w:rPr>
          <w:rFonts w:hint="eastAsia" w:ascii="宋体" w:hAnsi="宋体" w:cs="宋体"/>
          <w:b w:val="0"/>
          <w:bCs w:val="0"/>
          <w:sz w:val="24"/>
          <w:szCs w:val="24"/>
          <w:highlight w:val="none"/>
          <w:lang w:val="en-US" w:eastAsia="zh-CN"/>
        </w:rPr>
        <w:t>10</w:t>
      </w:r>
      <w:r>
        <w:rPr>
          <w:rFonts w:hint="eastAsia" w:ascii="宋体" w:hAnsi="宋体" w:eastAsia="宋体" w:cs="宋体"/>
          <w:b w:val="0"/>
          <w:bCs w:val="0"/>
          <w:sz w:val="24"/>
          <w:szCs w:val="24"/>
          <w:highlight w:val="none"/>
          <w:lang w:val="en-US" w:eastAsia="zh-CN"/>
        </w:rPr>
        <w:t>:</w:t>
      </w:r>
      <w:r>
        <w:rPr>
          <w:rFonts w:hint="eastAsia" w:ascii="宋体" w:hAnsi="宋体" w:cs="宋体"/>
          <w:b w:val="0"/>
          <w:bCs w:val="0"/>
          <w:sz w:val="24"/>
          <w:szCs w:val="24"/>
          <w:highlight w:val="none"/>
          <w:lang w:val="en-US" w:eastAsia="zh-CN"/>
        </w:rPr>
        <w:t>0</w:t>
      </w:r>
      <w:r>
        <w:rPr>
          <w:rFonts w:hint="eastAsia" w:ascii="宋体" w:hAnsi="宋体" w:eastAsia="宋体" w:cs="宋体"/>
          <w:b w:val="0"/>
          <w:bCs w:val="0"/>
          <w:sz w:val="24"/>
          <w:szCs w:val="24"/>
          <w:highlight w:val="none"/>
          <w:lang w:val="en-US" w:eastAsia="zh-CN"/>
        </w:rPr>
        <w:t>0；</w:t>
      </w:r>
    </w:p>
    <w:p>
      <w:pPr>
        <w:pStyle w:val="2"/>
        <w:spacing w:line="440" w:lineRule="exact"/>
        <w:ind w:left="0" w:leftChars="0" w:firstLine="424" w:firstLineChars="200"/>
        <w:rPr>
          <w:rFonts w:hint="eastAsia" w:ascii="宋体" w:hAnsi="宋体" w:eastAsia="宋体" w:cs="宋体"/>
          <w:b w:val="0"/>
          <w:bCs w:val="0"/>
          <w:sz w:val="24"/>
          <w:szCs w:val="24"/>
          <w:highlight w:val="none"/>
          <w:lang w:val="en-US" w:eastAsia="zh-CN"/>
        </w:rPr>
      </w:pPr>
      <w:r>
        <w:rPr>
          <w:rFonts w:hint="eastAsia" w:ascii="宋体" w:hAnsi="宋体" w:cs="宋体"/>
          <w:b w:val="0"/>
          <w:bCs w:val="0"/>
          <w:spacing w:val="-14"/>
          <w:sz w:val="24"/>
          <w:szCs w:val="24"/>
          <w:highlight w:val="none"/>
        </w:rPr>
        <w:t>（</w:t>
      </w:r>
      <w:r>
        <w:rPr>
          <w:rFonts w:hint="eastAsia" w:ascii="宋体" w:hAnsi="宋体" w:cs="宋体"/>
          <w:b w:val="0"/>
          <w:bCs w:val="0"/>
          <w:spacing w:val="-14"/>
          <w:sz w:val="24"/>
          <w:szCs w:val="24"/>
          <w:highlight w:val="none"/>
          <w:lang w:val="en-US" w:eastAsia="zh-CN"/>
        </w:rPr>
        <w:t>二</w:t>
      </w:r>
      <w:r>
        <w:rPr>
          <w:rFonts w:hint="eastAsia" w:ascii="宋体" w:hAnsi="宋体" w:cs="宋体"/>
          <w:b w:val="0"/>
          <w:bCs w:val="0"/>
          <w:spacing w:val="-14"/>
          <w:sz w:val="24"/>
          <w:szCs w:val="24"/>
          <w:highlight w:val="none"/>
        </w:rPr>
        <w:t>）</w:t>
      </w:r>
      <w:r>
        <w:rPr>
          <w:rFonts w:hint="eastAsia" w:ascii="宋体" w:hAnsi="宋体" w:eastAsia="宋体" w:cs="宋体"/>
          <w:b w:val="0"/>
          <w:bCs w:val="0"/>
          <w:sz w:val="24"/>
          <w:szCs w:val="24"/>
          <w:highlight w:val="none"/>
          <w:lang w:val="en-US" w:eastAsia="zh-CN"/>
        </w:rPr>
        <w:t>开标时间：2025年11月25日</w:t>
      </w:r>
      <w:r>
        <w:rPr>
          <w:rFonts w:hint="eastAsia" w:ascii="宋体" w:hAnsi="宋体" w:cs="宋体"/>
          <w:b w:val="0"/>
          <w:bCs w:val="0"/>
          <w:sz w:val="24"/>
          <w:szCs w:val="24"/>
          <w:highlight w:val="none"/>
          <w:lang w:val="en-US" w:eastAsia="zh-CN"/>
        </w:rPr>
        <w:t>10</w:t>
      </w:r>
      <w:r>
        <w:rPr>
          <w:rFonts w:hint="eastAsia" w:ascii="宋体" w:hAnsi="宋体" w:eastAsia="宋体" w:cs="宋体"/>
          <w:b w:val="0"/>
          <w:bCs w:val="0"/>
          <w:sz w:val="24"/>
          <w:szCs w:val="24"/>
          <w:highlight w:val="none"/>
          <w:lang w:val="en-US" w:eastAsia="zh-CN"/>
        </w:rPr>
        <w:t>:</w:t>
      </w:r>
      <w:r>
        <w:rPr>
          <w:rFonts w:hint="eastAsia" w:ascii="宋体" w:hAnsi="宋体" w:cs="宋体"/>
          <w:b w:val="0"/>
          <w:bCs w:val="0"/>
          <w:sz w:val="24"/>
          <w:szCs w:val="24"/>
          <w:highlight w:val="none"/>
          <w:lang w:val="en-US" w:eastAsia="zh-CN"/>
        </w:rPr>
        <w:t>0</w:t>
      </w:r>
      <w:r>
        <w:rPr>
          <w:rFonts w:hint="eastAsia" w:ascii="宋体" w:hAnsi="宋体" w:eastAsia="宋体" w:cs="宋体"/>
          <w:b w:val="0"/>
          <w:bCs w:val="0"/>
          <w:sz w:val="24"/>
          <w:szCs w:val="24"/>
          <w:highlight w:val="none"/>
          <w:lang w:val="en-US" w:eastAsia="zh-CN"/>
        </w:rPr>
        <w:t>0</w:t>
      </w:r>
    </w:p>
    <w:p>
      <w:pPr>
        <w:pStyle w:val="2"/>
        <w:spacing w:line="440" w:lineRule="exact"/>
        <w:ind w:left="0" w:leftChars="0" w:firstLine="424" w:firstLineChars="200"/>
        <w:rPr>
          <w:rFonts w:hint="eastAsia" w:ascii="宋体" w:hAnsi="宋体" w:cs="宋体"/>
          <w:b w:val="0"/>
          <w:bCs w:val="0"/>
          <w:sz w:val="24"/>
          <w:szCs w:val="24"/>
          <w:highlight w:val="none"/>
        </w:rPr>
      </w:pPr>
      <w:r>
        <w:rPr>
          <w:rFonts w:hint="eastAsia" w:ascii="宋体" w:hAnsi="宋体" w:cs="宋体"/>
          <w:b w:val="0"/>
          <w:bCs w:val="0"/>
          <w:spacing w:val="-14"/>
          <w:sz w:val="24"/>
          <w:szCs w:val="24"/>
          <w:highlight w:val="none"/>
        </w:rPr>
        <w:t>（三）开标</w:t>
      </w:r>
      <w:r>
        <w:rPr>
          <w:rFonts w:hint="eastAsia" w:ascii="宋体" w:hAnsi="宋体" w:cs="宋体"/>
          <w:b w:val="0"/>
          <w:bCs w:val="0"/>
          <w:sz w:val="24"/>
          <w:szCs w:val="24"/>
          <w:highlight w:val="none"/>
        </w:rPr>
        <w:t>地点：福建省南安市江北大道2330号南安市医院A栋</w:t>
      </w:r>
      <w:r>
        <w:rPr>
          <w:rFonts w:hint="eastAsia" w:ascii="宋体" w:hAnsi="宋体" w:cs="宋体"/>
          <w:b w:val="0"/>
          <w:bCs w:val="0"/>
          <w:sz w:val="24"/>
          <w:szCs w:val="24"/>
          <w:highlight w:val="none"/>
          <w:lang w:eastAsia="zh-CN"/>
        </w:rPr>
        <w:t>411</w:t>
      </w:r>
      <w:r>
        <w:rPr>
          <w:rFonts w:hint="eastAsia" w:ascii="宋体" w:hAnsi="宋体" w:cs="宋体"/>
          <w:b w:val="0"/>
          <w:bCs w:val="0"/>
          <w:sz w:val="24"/>
          <w:szCs w:val="24"/>
          <w:highlight w:val="none"/>
          <w:lang w:val="en-US" w:eastAsia="zh-CN"/>
        </w:rPr>
        <w:t>室</w:t>
      </w:r>
      <w:bookmarkStart w:id="0" w:name="_GoBack"/>
      <w:bookmarkEnd w:id="0"/>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rPr>
        <w:t>若不一致，以更正公告（若有）为准。</w:t>
      </w:r>
    </w:p>
    <w:p>
      <w:pPr>
        <w:pStyle w:val="3"/>
        <w:spacing w:before="0" w:beforeAutospacing="0" w:after="0" w:afterAutospacing="0" w:line="440" w:lineRule="exact"/>
        <w:ind w:firstLine="482" w:firstLineChars="200"/>
        <w:rPr>
          <w:rFonts w:ascii="宋体" w:hAnsi="宋体" w:cs="宋体"/>
        </w:rPr>
      </w:pPr>
      <w:r>
        <w:rPr>
          <w:rFonts w:hint="eastAsia" w:ascii="宋体" w:hAnsi="宋体" w:cs="宋体"/>
          <w:b/>
        </w:rPr>
        <w:t>八、竞争性谈判公告期限</w:t>
      </w:r>
      <w:r>
        <w:rPr>
          <w:rFonts w:hint="eastAsia" w:ascii="宋体" w:hAnsi="宋体" w:cs="宋体"/>
        </w:rPr>
        <w:t>：自本公告发布之日起3个工作日。</w:t>
      </w:r>
      <w:r>
        <w:rPr>
          <w:rFonts w:hint="eastAsia" w:ascii="宋体" w:hAnsi="宋体" w:cs="宋体"/>
          <w:b/>
          <w:bCs/>
        </w:rPr>
        <w:t xml:space="preserve">     </w:t>
      </w:r>
    </w:p>
    <w:p>
      <w:pPr>
        <w:widowControl/>
        <w:shd w:val="clear" w:color="auto" w:fill="FFFFFF"/>
        <w:wordWrap w:val="0"/>
        <w:topLinePunct/>
        <w:spacing w:line="440" w:lineRule="exact"/>
        <w:ind w:firstLine="482" w:firstLineChars="200"/>
        <w:rPr>
          <w:rFonts w:hint="eastAsia" w:ascii="宋体" w:hAnsi="宋体" w:cs="宋体"/>
          <w:sz w:val="24"/>
        </w:rPr>
      </w:pPr>
      <w:r>
        <w:rPr>
          <w:rFonts w:hint="eastAsia" w:ascii="宋体" w:hAnsi="宋体" w:cs="宋体"/>
          <w:b/>
          <w:sz w:val="24"/>
        </w:rPr>
        <w:t>九、</w:t>
      </w:r>
      <w:r>
        <w:rPr>
          <w:rFonts w:hint="eastAsia" w:ascii="宋体" w:hAnsi="宋体" w:cs="宋体"/>
          <w:b/>
          <w:color w:val="auto"/>
          <w:sz w:val="24"/>
        </w:rPr>
        <w:t>竞争性谈判公告媒介</w:t>
      </w:r>
      <w:r>
        <w:rPr>
          <w:rFonts w:hint="eastAsia" w:ascii="宋体" w:hAnsi="宋体" w:cs="宋体"/>
          <w:sz w:val="24"/>
        </w:rPr>
        <w:t>：</w:t>
      </w:r>
      <w:r>
        <w:rPr>
          <w:rFonts w:hint="eastAsia" w:ascii="宋体" w:hAnsi="宋体" w:eastAsia="宋体" w:cs="宋体"/>
          <w:color w:val="auto"/>
          <w:sz w:val="24"/>
          <w:lang w:val="en-US" w:eastAsia="zh-CN"/>
        </w:rPr>
        <w:t>南安市紧密型医共体招采供平台（http://nazb.51zhaobiao.cn/f）、南安市医院（https://www.fjsnasyy.cn/）</w:t>
      </w:r>
    </w:p>
    <w:p>
      <w:pPr>
        <w:pStyle w:val="3"/>
        <w:widowControl/>
        <w:spacing w:before="0" w:beforeAutospacing="0" w:after="0" w:afterAutospacing="0" w:line="360" w:lineRule="auto"/>
        <w:ind w:firstLine="480"/>
        <w:rPr>
          <w:rFonts w:hint="eastAsia" w:ascii="宋体" w:hAnsi="宋体" w:cs="宋体"/>
          <w:highlight w:val="none"/>
        </w:rPr>
      </w:pPr>
      <w:r>
        <w:rPr>
          <w:rFonts w:hint="eastAsia" w:ascii="宋体" w:hAnsi="宋体" w:cs="宋体"/>
          <w:b/>
        </w:rPr>
        <w:t>十</w:t>
      </w:r>
      <w:r>
        <w:rPr>
          <w:rFonts w:hint="eastAsia" w:ascii="宋体" w:hAnsi="宋体" w:cs="宋体"/>
          <w:b/>
          <w:highlight w:val="none"/>
        </w:rPr>
        <w:t>、采购人</w:t>
      </w:r>
      <w:r>
        <w:rPr>
          <w:rFonts w:hint="eastAsia" w:ascii="宋体" w:hAnsi="宋体" w:cs="宋体"/>
          <w:highlight w:val="none"/>
        </w:rPr>
        <w:t>：</w:t>
      </w:r>
      <w:r>
        <w:rPr>
          <w:rFonts w:hint="eastAsia" w:ascii="宋体" w:hAnsi="宋体" w:cs="宋体"/>
          <w:kern w:val="2"/>
          <w:highlight w:val="none"/>
          <w:lang w:val="en-US" w:eastAsia="zh-CN"/>
        </w:rPr>
        <w:t>南安市医院</w:t>
      </w:r>
    </w:p>
    <w:p>
      <w:pPr>
        <w:shd w:val="clear" w:color="auto" w:fill="FFFFFF"/>
        <w:spacing w:line="360" w:lineRule="auto"/>
        <w:ind w:firstLine="480" w:firstLineChars="200"/>
        <w:rPr>
          <w:rFonts w:hint="eastAsia" w:ascii="宋体" w:hAnsi="宋体" w:cs="宋体"/>
          <w:b w:val="0"/>
          <w:bCs w:val="0"/>
          <w:sz w:val="24"/>
          <w:lang w:eastAsia="zh-CN"/>
        </w:rPr>
      </w:pPr>
      <w:r>
        <w:rPr>
          <w:rFonts w:hint="eastAsia" w:ascii="宋体" w:hAnsi="宋体" w:cs="宋体"/>
          <w:b w:val="0"/>
          <w:bCs w:val="0"/>
          <w:sz w:val="24"/>
        </w:rPr>
        <w:t>地址：</w:t>
      </w:r>
      <w:r>
        <w:rPr>
          <w:rFonts w:hint="eastAsia" w:ascii="宋体" w:hAnsi="宋体" w:cs="宋体"/>
          <w:b w:val="0"/>
          <w:bCs w:val="0"/>
          <w:sz w:val="24"/>
          <w:lang w:eastAsia="zh-CN"/>
        </w:rPr>
        <w:t>福建省南安市江北大道2330号</w:t>
      </w:r>
    </w:p>
    <w:p>
      <w:pPr>
        <w:shd w:val="clear" w:color="auto" w:fill="FFFFFF"/>
        <w:spacing w:line="360" w:lineRule="auto"/>
        <w:ind w:firstLine="480" w:firstLineChars="200"/>
        <w:rPr>
          <w:rFonts w:hint="eastAsia" w:ascii="宋体" w:hAnsi="宋体" w:cs="宋体"/>
          <w:b w:val="0"/>
          <w:bCs w:val="0"/>
          <w:sz w:val="24"/>
          <w:highlight w:val="none"/>
        </w:rPr>
      </w:pPr>
      <w:r>
        <w:rPr>
          <w:rFonts w:hint="eastAsia" w:ascii="宋体" w:hAnsi="宋体" w:cs="宋体"/>
          <w:b w:val="0"/>
          <w:bCs w:val="0"/>
          <w:sz w:val="24"/>
          <w:highlight w:val="none"/>
        </w:rPr>
        <w:t xml:space="preserve"> 邮编： 362400</w:t>
      </w:r>
    </w:p>
    <w:p>
      <w:pPr>
        <w:shd w:val="clear" w:color="auto" w:fill="FFFFFF"/>
        <w:spacing w:line="360" w:lineRule="auto"/>
        <w:ind w:firstLine="480" w:firstLineChars="200"/>
        <w:rPr>
          <w:rFonts w:hint="eastAsia" w:ascii="宋体" w:hAnsi="宋体" w:cs="宋体"/>
          <w:b w:val="0"/>
          <w:bCs w:val="0"/>
          <w:sz w:val="24"/>
          <w:highlight w:val="none"/>
          <w:lang w:val="en-US" w:eastAsia="zh-CN"/>
        </w:rPr>
      </w:pPr>
      <w:r>
        <w:rPr>
          <w:rFonts w:hint="eastAsia" w:ascii="宋体" w:hAnsi="宋体" w:cs="宋体"/>
          <w:b w:val="0"/>
          <w:bCs w:val="0"/>
          <w:sz w:val="24"/>
          <w:highlight w:val="none"/>
        </w:rPr>
        <w:t xml:space="preserve"> 联系人：</w:t>
      </w:r>
      <w:r>
        <w:rPr>
          <w:rFonts w:hint="eastAsia" w:ascii="宋体" w:hAnsi="宋体" w:cs="宋体"/>
          <w:b w:val="0"/>
          <w:bCs w:val="0"/>
          <w:sz w:val="24"/>
          <w:highlight w:val="none"/>
          <w:lang w:val="en-US" w:eastAsia="zh-CN"/>
        </w:rPr>
        <w:t>卓晓琳</w:t>
      </w:r>
    </w:p>
    <w:p>
      <w:pPr>
        <w:shd w:val="clear" w:color="auto" w:fill="FFFFFF"/>
        <w:spacing w:line="360" w:lineRule="auto"/>
        <w:ind w:firstLine="480" w:firstLineChars="200"/>
        <w:rPr>
          <w:rFonts w:hint="eastAsia" w:ascii="宋体" w:hAnsi="宋体" w:cs="宋体"/>
          <w:b w:val="0"/>
          <w:bCs w:val="0"/>
          <w:sz w:val="24"/>
          <w:highlight w:val="none"/>
          <w:lang w:val="en-US" w:eastAsia="zh-CN"/>
        </w:rPr>
      </w:pPr>
      <w:r>
        <w:rPr>
          <w:rFonts w:hint="eastAsia" w:ascii="宋体" w:hAnsi="宋体" w:cs="宋体"/>
          <w:b w:val="0"/>
          <w:bCs w:val="0"/>
          <w:sz w:val="24"/>
          <w:highlight w:val="none"/>
        </w:rPr>
        <w:t xml:space="preserve"> 联系电话：</w:t>
      </w:r>
      <w:r>
        <w:rPr>
          <w:rFonts w:hint="eastAsia" w:ascii="宋体" w:hAnsi="宋体" w:cs="宋体"/>
          <w:b w:val="0"/>
          <w:bCs w:val="0"/>
          <w:sz w:val="24"/>
          <w:highlight w:val="none"/>
          <w:lang w:val="en-US" w:eastAsia="zh-CN"/>
        </w:rPr>
        <w:t>0595-86394148</w:t>
      </w:r>
    </w:p>
    <w:p>
      <w:pPr>
        <w:shd w:val="clear" w:color="auto" w:fill="FFFFFF"/>
        <w:spacing w:line="360" w:lineRule="auto"/>
        <w:ind w:firstLine="482" w:firstLineChars="200"/>
        <w:rPr>
          <w:rFonts w:hint="eastAsia" w:eastAsia="宋体"/>
          <w:lang w:eastAsia="zh-CN"/>
        </w:rPr>
      </w:pPr>
      <w:r>
        <w:rPr>
          <w:rFonts w:hint="eastAsia" w:ascii="宋体" w:hAnsi="宋体" w:cs="宋体"/>
          <w:b/>
          <w:bCs/>
          <w:sz w:val="24"/>
        </w:rPr>
        <w:t>十</w:t>
      </w:r>
      <w:r>
        <w:rPr>
          <w:rFonts w:hint="eastAsia" w:ascii="宋体" w:hAnsi="宋体" w:cs="宋体"/>
          <w:b/>
          <w:bCs/>
          <w:sz w:val="24"/>
          <w:lang w:val="en-US" w:eastAsia="zh-CN"/>
        </w:rPr>
        <w:t>一</w:t>
      </w:r>
      <w:r>
        <w:rPr>
          <w:rFonts w:hint="eastAsia" w:ascii="宋体" w:hAnsi="宋体" w:cs="宋体"/>
          <w:b/>
          <w:bCs/>
          <w:sz w:val="24"/>
        </w:rPr>
        <w:t>、采购代理机构：</w:t>
      </w:r>
      <w:r>
        <w:rPr>
          <w:rFonts w:hint="eastAsia" w:ascii="宋体" w:hAnsi="宋体" w:cs="宋体"/>
          <w:sz w:val="24"/>
          <w:lang w:eastAsia="zh-CN"/>
        </w:rPr>
        <w:t>福建省臻信达项目管理有限公司</w:t>
      </w:r>
    </w:p>
    <w:p>
      <w:pPr>
        <w:pStyle w:val="8"/>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泉州市丰泽区坪山路441号野兔云谷综合产业园4层4702</w:t>
      </w:r>
    </w:p>
    <w:p>
      <w:pPr>
        <w:pStyle w:val="8"/>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邮编：362000</w:t>
      </w:r>
    </w:p>
    <w:p>
      <w:pPr>
        <w:pStyle w:val="8"/>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陈女士</w:t>
      </w:r>
    </w:p>
    <w:p>
      <w:pPr>
        <w:pStyle w:val="8"/>
        <w:keepNext w:val="0"/>
        <w:keepLines w:val="0"/>
        <w:pageBreakBefore w:val="0"/>
        <w:widowControl/>
        <w:kinsoku/>
        <w:wordWrap/>
        <w:overflowPunct/>
        <w:topLinePunct w:val="0"/>
        <w:autoSpaceDE/>
        <w:autoSpaceDN/>
        <w:bidi w:val="0"/>
        <w:adjustRightInd/>
        <w:snapToGrid/>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0595-22683717/13595953322</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81DE21"/>
    <w:multiLevelType w:val="singleLevel"/>
    <w:tmpl w:val="4C81DE2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wMTM2NWIwMWJiMGVjN2MwZTNlYjI3YTNiNzkzMTcifQ=="/>
  </w:docVars>
  <w:rsids>
    <w:rsidRoot w:val="62E21134"/>
    <w:rsid w:val="40E165AE"/>
    <w:rsid w:val="4875046F"/>
    <w:rsid w:val="62E21134"/>
    <w:rsid w:val="630B1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index 4"/>
    <w:basedOn w:val="1"/>
    <w:next w:val="1"/>
    <w:unhideWhenUsed/>
    <w:qFormat/>
    <w:uiPriority w:val="99"/>
    <w:pPr>
      <w:ind w:left="600" w:leftChars="600"/>
    </w:pPr>
    <w:rPr>
      <w:rFonts w:ascii="Verdana" w:hAnsi="Verdana"/>
      <w:szCs w:val="20"/>
    </w:rPr>
  </w:style>
  <w:style w:type="paragraph" w:styleId="3">
    <w:name w:val="Normal (Web)"/>
    <w:basedOn w:val="1"/>
    <w:qFormat/>
    <w:uiPriority w:val="99"/>
    <w:pPr>
      <w:spacing w:before="100" w:beforeAutospacing="1" w:after="100" w:afterAutospacing="1"/>
      <w:ind w:left="0" w:right="0"/>
      <w:jc w:val="left"/>
    </w:pPr>
    <w:rPr>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paragraph" w:customStyle="1" w:styleId="8">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1615</Words>
  <Characters>1816</Characters>
  <Lines>0</Lines>
  <Paragraphs>0</Paragraphs>
  <TotalTime>1</TotalTime>
  <ScaleCrop>false</ScaleCrop>
  <LinksUpToDate>false</LinksUpToDate>
  <CharactersWithSpaces>1828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2025-11-18T07:49:00Z</dcterms:created>
  <dc:creator>Lin</dc:creator>
  <cp:lastModifiedBy>Sdaring</cp:lastModifiedBy>
  <dcterms:modified xsi:type="dcterms:W3CDTF">2025-11-19T01:15:56Z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C28F6EE5A554436CAF785DDF0D40D085_11</vt:lpwstr>
  </property>
  <property fmtid="{D5CDD505-2E9C-101B-9397-08002B2CF9AE}" pid="4" name="KSOTemplateDocerSaveRecord">
    <vt:lpwstr>eyJoZGlkIjoiNGI2MWQ1ZDNhMzQ0MDNjMDc0Mjk4MTZkMjdjZWU4NzIiLCJ1c2VySWQiOiIxNTEwMjA3NzA2In0=</vt:lpwstr>
  </property>
</Properties>
</file>