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7493AE">
      <w:pPr>
        <w:widowControl/>
        <w:spacing w:before="75" w:after="75"/>
        <w:jc w:val="center"/>
        <w:rPr>
          <w:rFonts w:ascii="宋体" w:hAnsi="宋体" w:cs="宋体"/>
          <w:color w:val="auto"/>
          <w:kern w:val="0"/>
          <w:sz w:val="24"/>
        </w:rPr>
      </w:pPr>
    </w:p>
    <w:p w14:paraId="789F9801">
      <w:pPr>
        <w:widowControl/>
        <w:spacing w:before="75" w:after="75"/>
        <w:jc w:val="center"/>
        <w:rPr>
          <w:rFonts w:ascii="宋体" w:hAnsi="宋体" w:cs="宋体"/>
          <w:b/>
          <w:bCs/>
          <w:color w:val="auto"/>
          <w:kern w:val="0"/>
          <w:sz w:val="72"/>
        </w:rPr>
      </w:pPr>
    </w:p>
    <w:p w14:paraId="15DCC6CA">
      <w:pPr>
        <w:widowControl/>
        <w:spacing w:before="75" w:after="75"/>
        <w:jc w:val="center"/>
        <w:rPr>
          <w:rFonts w:ascii="宋体" w:hAnsi="宋体" w:cs="宋体"/>
          <w:color w:val="auto"/>
          <w:kern w:val="0"/>
          <w:sz w:val="24"/>
        </w:rPr>
      </w:pPr>
      <w:r>
        <w:rPr>
          <w:rFonts w:ascii="宋体" w:hAnsi="宋体" w:cs="宋体"/>
          <w:b/>
          <w:bCs/>
          <w:color w:val="auto"/>
          <w:kern w:val="0"/>
          <w:sz w:val="72"/>
        </w:rPr>
        <w:t>竞争性谈判文件</w:t>
      </w:r>
    </w:p>
    <w:p w14:paraId="34FC0C9D">
      <w:pPr>
        <w:widowControl/>
        <w:spacing w:before="75" w:after="75"/>
        <w:jc w:val="left"/>
        <w:rPr>
          <w:rFonts w:ascii="宋体" w:hAnsi="宋体" w:cs="宋体"/>
          <w:color w:val="auto"/>
          <w:kern w:val="0"/>
          <w:sz w:val="24"/>
        </w:rPr>
      </w:pPr>
      <w:r>
        <w:rPr>
          <w:rFonts w:ascii="宋体" w:hAnsi="宋体" w:cs="宋体"/>
          <w:color w:val="auto"/>
          <w:kern w:val="0"/>
          <w:sz w:val="24"/>
        </w:rPr>
        <w:t> </w:t>
      </w:r>
    </w:p>
    <w:p w14:paraId="22CA7DAB">
      <w:pPr>
        <w:widowControl/>
        <w:spacing w:before="75" w:after="75"/>
        <w:jc w:val="left"/>
        <w:rPr>
          <w:rFonts w:ascii="宋体" w:hAnsi="宋体" w:cs="宋体"/>
          <w:color w:val="auto"/>
          <w:kern w:val="0"/>
          <w:sz w:val="24"/>
        </w:rPr>
      </w:pPr>
      <w:r>
        <w:rPr>
          <w:rFonts w:ascii="宋体" w:hAnsi="宋体" w:cs="宋体"/>
          <w:b/>
          <w:bCs/>
          <w:color w:val="auto"/>
          <w:kern w:val="0"/>
          <w:sz w:val="24"/>
        </w:rPr>
        <w:t> </w:t>
      </w:r>
    </w:p>
    <w:p w14:paraId="231C13BB">
      <w:pPr>
        <w:pStyle w:val="28"/>
        <w:jc w:val="center"/>
        <w:outlineLvl w:val="0"/>
      </w:pPr>
      <w:r>
        <w:rPr>
          <w:rFonts w:ascii="宋体" w:hAnsi="宋体" w:cs="宋体"/>
          <w:color w:val="auto"/>
          <w:kern w:val="0"/>
          <w:sz w:val="24"/>
        </w:rPr>
        <w:t> </w:t>
      </w:r>
    </w:p>
    <w:p w14:paraId="696B4D56">
      <w:pPr>
        <w:widowControl/>
        <w:spacing w:before="75" w:after="75"/>
        <w:jc w:val="left"/>
        <w:rPr>
          <w:rFonts w:ascii="宋体" w:hAnsi="宋体" w:cs="宋体"/>
          <w:color w:val="auto"/>
          <w:kern w:val="0"/>
          <w:sz w:val="24"/>
        </w:rPr>
      </w:pPr>
    </w:p>
    <w:p w14:paraId="21533F13">
      <w:pPr>
        <w:widowControl/>
        <w:spacing w:before="75" w:after="75"/>
        <w:jc w:val="left"/>
        <w:rPr>
          <w:rFonts w:ascii="宋体" w:hAnsi="宋体" w:cs="宋体"/>
          <w:color w:val="auto"/>
          <w:kern w:val="0"/>
          <w:sz w:val="24"/>
        </w:rPr>
      </w:pPr>
    </w:p>
    <w:p w14:paraId="35D3AE4C">
      <w:pPr>
        <w:widowControl/>
        <w:spacing w:before="75" w:after="75"/>
        <w:jc w:val="left"/>
        <w:rPr>
          <w:rFonts w:ascii="宋体" w:hAnsi="宋体" w:cs="宋体"/>
          <w:color w:val="auto"/>
          <w:kern w:val="0"/>
          <w:sz w:val="24"/>
        </w:rPr>
      </w:pPr>
    </w:p>
    <w:p w14:paraId="4DCD91E4">
      <w:pPr>
        <w:widowControl/>
        <w:spacing w:before="75" w:after="75"/>
        <w:jc w:val="left"/>
        <w:rPr>
          <w:rFonts w:ascii="宋体" w:hAnsi="宋体" w:cs="宋体"/>
          <w:color w:val="auto"/>
          <w:kern w:val="0"/>
          <w:sz w:val="24"/>
        </w:rPr>
      </w:pPr>
    </w:p>
    <w:p w14:paraId="1EAA5D3F">
      <w:pPr>
        <w:widowControl/>
        <w:spacing w:before="75" w:after="75"/>
        <w:jc w:val="left"/>
        <w:rPr>
          <w:rFonts w:hint="eastAsia" w:ascii="宋体" w:hAnsi="宋体" w:eastAsia="宋体" w:cs="宋体"/>
          <w:color w:val="auto"/>
          <w:kern w:val="0"/>
          <w:sz w:val="24"/>
          <w:lang w:eastAsia="zh-CN"/>
        </w:rPr>
      </w:pPr>
      <w:r>
        <w:rPr>
          <w:rFonts w:ascii="宋体" w:hAnsi="宋体" w:cs="宋体"/>
          <w:color w:val="auto"/>
          <w:kern w:val="0"/>
          <w:sz w:val="24"/>
        </w:rPr>
        <w:t> </w:t>
      </w:r>
    </w:p>
    <w:p w14:paraId="53FA8A10">
      <w:pPr>
        <w:widowControl/>
        <w:spacing w:before="75" w:after="75"/>
        <w:rPr>
          <w:rFonts w:hint="eastAsia" w:ascii="宋体" w:hAnsi="宋体" w:cs="宋体"/>
          <w:b/>
          <w:bCs/>
          <w:color w:val="auto"/>
          <w:sz w:val="30"/>
          <w:szCs w:val="30"/>
          <w:highlight w:val="none"/>
          <w:lang w:val="zh-CN"/>
        </w:rPr>
      </w:pPr>
      <w:r>
        <w:rPr>
          <w:rFonts w:ascii="宋体" w:hAnsi="宋体" w:cs="宋体"/>
          <w:b/>
          <w:bCs/>
          <w:color w:val="auto"/>
          <w:kern w:val="0"/>
          <w:sz w:val="30"/>
        </w:rPr>
        <w:t>项目名称：</w:t>
      </w:r>
      <w:r>
        <w:rPr>
          <w:rFonts w:hint="eastAsia" w:ascii="宋体" w:hAnsi="宋体" w:cs="宋体"/>
          <w:b/>
          <w:bCs/>
          <w:color w:val="auto"/>
          <w:sz w:val="30"/>
          <w:szCs w:val="30"/>
          <w:highlight w:val="none"/>
          <w:lang w:val="zh-CN"/>
        </w:rPr>
        <w:t>南安市疾病预防控制中心生物显微镜和超纯水机等设备采购</w:t>
      </w:r>
    </w:p>
    <w:p w14:paraId="4356C5B6">
      <w:pPr>
        <w:widowControl/>
        <w:spacing w:before="75" w:after="75"/>
        <w:rPr>
          <w:rFonts w:hint="eastAsia" w:ascii="宋体" w:hAnsi="宋体" w:eastAsia="宋体" w:cs="宋体"/>
          <w:b/>
          <w:bCs/>
          <w:color w:val="auto"/>
          <w:kern w:val="0"/>
          <w:sz w:val="30"/>
          <w:lang w:eastAsia="zh-CN"/>
        </w:rPr>
      </w:pPr>
      <w:r>
        <w:rPr>
          <w:rFonts w:hint="eastAsia" w:ascii="宋体" w:hAnsi="宋体" w:cs="宋体"/>
          <w:b/>
          <w:bCs/>
          <w:color w:val="auto"/>
          <w:kern w:val="0"/>
          <w:sz w:val="30"/>
        </w:rPr>
        <w:t>采购</w:t>
      </w:r>
      <w:r>
        <w:rPr>
          <w:rFonts w:ascii="宋体" w:hAnsi="宋体" w:cs="宋体"/>
          <w:b/>
          <w:bCs/>
          <w:color w:val="auto"/>
          <w:kern w:val="0"/>
          <w:sz w:val="30"/>
        </w:rPr>
        <w:t>编号：</w:t>
      </w:r>
      <w:r>
        <w:rPr>
          <w:rFonts w:hint="eastAsia" w:ascii="宋体" w:hAnsi="宋体" w:cs="宋体"/>
          <w:b/>
          <w:bCs/>
          <w:color w:val="auto"/>
          <w:kern w:val="0"/>
          <w:sz w:val="30"/>
          <w:lang w:eastAsia="zh-CN"/>
        </w:rPr>
        <w:t>XKY2025142</w:t>
      </w:r>
    </w:p>
    <w:p w14:paraId="2DBFA0FC">
      <w:pPr>
        <w:widowControl/>
        <w:spacing w:before="75" w:after="75"/>
        <w:rPr>
          <w:rFonts w:hint="eastAsia" w:ascii="宋体" w:hAnsi="宋体" w:eastAsia="宋体" w:cs="宋体"/>
          <w:b/>
          <w:bCs/>
          <w:color w:val="auto"/>
          <w:kern w:val="0"/>
          <w:sz w:val="30"/>
          <w:lang w:eastAsia="zh-CN"/>
        </w:rPr>
      </w:pPr>
      <w:r>
        <w:rPr>
          <w:rFonts w:hint="eastAsia" w:ascii="宋体" w:hAnsi="宋体" w:cs="宋体"/>
          <w:b/>
          <w:bCs/>
          <w:color w:val="auto"/>
          <w:kern w:val="0"/>
          <w:sz w:val="30"/>
        </w:rPr>
        <w:t>采购单位：</w:t>
      </w:r>
      <w:r>
        <w:rPr>
          <w:rFonts w:hint="eastAsia" w:ascii="宋体" w:hAnsi="宋体" w:cs="宋体"/>
          <w:b/>
          <w:bCs/>
          <w:color w:val="auto"/>
          <w:kern w:val="0"/>
          <w:sz w:val="30"/>
          <w:lang w:eastAsia="zh-CN"/>
        </w:rPr>
        <w:t>南安市疾病预防控制中心</w:t>
      </w:r>
    </w:p>
    <w:p w14:paraId="39897574">
      <w:pPr>
        <w:widowControl/>
        <w:spacing w:before="75" w:after="75"/>
        <w:ind w:firstLine="1050"/>
        <w:jc w:val="left"/>
        <w:rPr>
          <w:color w:val="auto"/>
          <w:kern w:val="0"/>
        </w:rPr>
      </w:pPr>
      <w:r>
        <w:rPr>
          <w:color w:val="auto"/>
          <w:kern w:val="0"/>
        </w:rPr>
        <w:t> </w:t>
      </w:r>
    </w:p>
    <w:p w14:paraId="7F930813">
      <w:pPr>
        <w:widowControl/>
        <w:spacing w:before="75" w:after="75"/>
        <w:jc w:val="left"/>
        <w:rPr>
          <w:rFonts w:ascii="宋体" w:hAnsi="宋体" w:cs="宋体"/>
          <w:color w:val="auto"/>
          <w:kern w:val="0"/>
          <w:sz w:val="24"/>
        </w:rPr>
      </w:pPr>
      <w:r>
        <w:rPr>
          <w:rFonts w:ascii="宋体" w:hAnsi="宋体" w:cs="宋体"/>
          <w:color w:val="auto"/>
          <w:kern w:val="0"/>
          <w:sz w:val="24"/>
        </w:rPr>
        <w:t> </w:t>
      </w:r>
    </w:p>
    <w:p w14:paraId="67EE479F">
      <w:pPr>
        <w:widowControl/>
        <w:spacing w:before="75" w:after="75"/>
        <w:jc w:val="left"/>
        <w:rPr>
          <w:rFonts w:ascii="宋体" w:hAnsi="宋体" w:cs="宋体"/>
          <w:color w:val="auto"/>
          <w:kern w:val="0"/>
          <w:sz w:val="24"/>
        </w:rPr>
      </w:pPr>
      <w:r>
        <w:rPr>
          <w:rFonts w:ascii="宋体" w:hAnsi="宋体" w:cs="宋体"/>
          <w:b/>
          <w:bCs/>
          <w:color w:val="auto"/>
          <w:kern w:val="0"/>
          <w:sz w:val="24"/>
        </w:rPr>
        <w:t> </w:t>
      </w:r>
    </w:p>
    <w:p w14:paraId="345B3D72">
      <w:pPr>
        <w:widowControl/>
        <w:spacing w:before="75" w:after="75"/>
        <w:jc w:val="center"/>
        <w:rPr>
          <w:rFonts w:ascii="宋体" w:hAnsi="宋体" w:cs="宋体"/>
          <w:b/>
          <w:bCs/>
          <w:color w:val="auto"/>
          <w:kern w:val="0"/>
          <w:sz w:val="30"/>
        </w:rPr>
      </w:pPr>
    </w:p>
    <w:p w14:paraId="3658CDB7">
      <w:pPr>
        <w:widowControl/>
        <w:spacing w:before="75" w:after="75"/>
        <w:rPr>
          <w:rFonts w:ascii="宋体" w:hAnsi="宋体" w:cs="宋体"/>
          <w:color w:val="auto"/>
          <w:kern w:val="0"/>
          <w:sz w:val="24"/>
        </w:rPr>
      </w:pPr>
      <w:r>
        <w:rPr>
          <w:rFonts w:ascii="宋体" w:hAnsi="宋体" w:cs="宋体"/>
          <w:b/>
          <w:bCs/>
          <w:color w:val="auto"/>
          <w:kern w:val="0"/>
          <w:sz w:val="30"/>
        </w:rPr>
        <w:t> </w:t>
      </w:r>
    </w:p>
    <w:p w14:paraId="214B34DB">
      <w:pPr>
        <w:widowControl/>
        <w:spacing w:before="75" w:after="75"/>
        <w:jc w:val="center"/>
        <w:rPr>
          <w:rFonts w:ascii="宋体" w:hAnsi="宋体" w:cs="宋体"/>
          <w:color w:val="auto"/>
          <w:kern w:val="0"/>
          <w:sz w:val="24"/>
        </w:rPr>
      </w:pPr>
      <w:r>
        <w:rPr>
          <w:rFonts w:hint="eastAsia" w:ascii="宋体" w:hAnsi="宋体" w:cs="宋体"/>
          <w:b/>
          <w:bCs/>
          <w:color w:val="auto"/>
          <w:kern w:val="0"/>
          <w:sz w:val="30"/>
        </w:rPr>
        <w:t>泉州市新开源项目咨询有限公司</w:t>
      </w:r>
      <w:r>
        <w:rPr>
          <w:rFonts w:ascii="宋体" w:hAnsi="宋体" w:cs="宋体"/>
          <w:b/>
          <w:bCs/>
          <w:color w:val="auto"/>
          <w:kern w:val="0"/>
          <w:sz w:val="30"/>
        </w:rPr>
        <w:t> </w:t>
      </w:r>
    </w:p>
    <w:p w14:paraId="1927C460">
      <w:pPr>
        <w:widowControl/>
        <w:spacing w:before="75" w:after="75"/>
        <w:jc w:val="center"/>
        <w:rPr>
          <w:rFonts w:ascii="宋体" w:hAnsi="宋体" w:cs="宋体"/>
          <w:b/>
          <w:bCs/>
          <w:color w:val="auto"/>
          <w:kern w:val="0"/>
          <w:sz w:val="30"/>
        </w:rPr>
      </w:pPr>
      <w:r>
        <w:rPr>
          <w:rFonts w:hint="eastAsia" w:ascii="宋体" w:hAnsi="宋体" w:cs="宋体"/>
          <w:b/>
          <w:bCs/>
          <w:color w:val="auto"/>
          <w:kern w:val="0"/>
          <w:sz w:val="30"/>
        </w:rPr>
        <w:t>202</w:t>
      </w:r>
      <w:r>
        <w:rPr>
          <w:rFonts w:hint="eastAsia" w:ascii="宋体" w:hAnsi="宋体" w:cs="宋体"/>
          <w:b/>
          <w:bCs/>
          <w:color w:val="auto"/>
          <w:kern w:val="0"/>
          <w:sz w:val="30"/>
          <w:lang w:val="en-US" w:eastAsia="zh-CN"/>
        </w:rPr>
        <w:t>5</w:t>
      </w:r>
      <w:r>
        <w:rPr>
          <w:rFonts w:hint="eastAsia" w:ascii="宋体" w:hAnsi="宋体" w:cs="宋体"/>
          <w:b/>
          <w:bCs/>
          <w:color w:val="auto"/>
          <w:kern w:val="0"/>
          <w:sz w:val="30"/>
        </w:rPr>
        <w:t>年</w:t>
      </w:r>
      <w:r>
        <w:rPr>
          <w:rFonts w:hint="eastAsia" w:ascii="宋体" w:hAnsi="宋体" w:cs="宋体"/>
          <w:b/>
          <w:bCs/>
          <w:color w:val="auto"/>
          <w:kern w:val="0"/>
          <w:sz w:val="30"/>
          <w:lang w:val="en-US" w:eastAsia="zh-CN"/>
        </w:rPr>
        <w:t>12</w:t>
      </w:r>
      <w:r>
        <w:rPr>
          <w:rFonts w:hint="eastAsia" w:ascii="宋体" w:hAnsi="宋体" w:cs="宋体"/>
          <w:b/>
          <w:bCs/>
          <w:color w:val="auto"/>
          <w:kern w:val="0"/>
          <w:sz w:val="30"/>
        </w:rPr>
        <w:t>月</w:t>
      </w:r>
    </w:p>
    <w:p w14:paraId="015A3208">
      <w:pPr>
        <w:widowControl/>
        <w:spacing w:before="75" w:after="75"/>
        <w:jc w:val="center"/>
        <w:rPr>
          <w:rFonts w:ascii="宋体" w:hAnsi="宋体" w:cs="宋体"/>
          <w:b/>
          <w:bCs/>
          <w:color w:val="auto"/>
          <w:kern w:val="0"/>
          <w:sz w:val="30"/>
        </w:rPr>
      </w:pPr>
    </w:p>
    <w:p w14:paraId="5CEF77AA">
      <w:pPr>
        <w:widowControl/>
        <w:spacing w:before="75" w:after="75"/>
        <w:jc w:val="center"/>
        <w:rPr>
          <w:rFonts w:ascii="宋体" w:hAnsi="宋体" w:cs="宋体"/>
          <w:b/>
          <w:bCs/>
          <w:color w:val="auto"/>
          <w:kern w:val="0"/>
          <w:sz w:val="30"/>
        </w:rPr>
      </w:pPr>
    </w:p>
    <w:p w14:paraId="36B67B62">
      <w:pPr>
        <w:widowControl/>
        <w:spacing w:before="75" w:after="75"/>
        <w:jc w:val="both"/>
        <w:rPr>
          <w:rFonts w:ascii="宋体" w:hAnsi="宋体" w:cs="宋体"/>
          <w:color w:val="auto"/>
          <w:kern w:val="0"/>
          <w:sz w:val="24"/>
        </w:rPr>
      </w:pPr>
      <w:r>
        <w:rPr>
          <w:rFonts w:ascii="宋体" w:hAnsi="宋体" w:cs="宋体"/>
          <w:b/>
          <w:bCs/>
          <w:color w:val="auto"/>
          <w:kern w:val="0"/>
          <w:sz w:val="30"/>
        </w:rPr>
        <w:t> </w:t>
      </w:r>
    </w:p>
    <w:p w14:paraId="54965D85">
      <w:pPr>
        <w:widowControl/>
        <w:spacing w:before="75" w:after="75"/>
        <w:jc w:val="center"/>
        <w:rPr>
          <w:rFonts w:ascii="宋体" w:hAnsi="宋体" w:cs="宋体"/>
          <w:color w:val="auto"/>
          <w:kern w:val="0"/>
          <w:sz w:val="24"/>
        </w:rPr>
      </w:pPr>
      <w:r>
        <w:rPr>
          <w:rFonts w:ascii="宋体" w:hAnsi="宋体" w:cs="宋体"/>
          <w:b/>
          <w:bCs/>
          <w:color w:val="auto"/>
          <w:kern w:val="0"/>
          <w:sz w:val="44"/>
        </w:rPr>
        <w:t>第一章   采购公告/采购邀请书</w:t>
      </w:r>
    </w:p>
    <w:p w14:paraId="4093090D">
      <w:pPr>
        <w:widowControl/>
        <w:spacing w:before="75" w:after="75"/>
        <w:rPr>
          <w:rFonts w:ascii="宋体" w:hAnsi="宋体" w:cs="宋体"/>
          <w:color w:val="auto"/>
          <w:kern w:val="0"/>
          <w:sz w:val="24"/>
          <w:highlight w:val="none"/>
        </w:rPr>
      </w:pPr>
      <w:r>
        <w:rPr>
          <w:rFonts w:ascii="宋体" w:hAnsi="宋体" w:cs="宋体"/>
          <w:b/>
          <w:bCs/>
          <w:color w:val="auto"/>
          <w:kern w:val="0"/>
          <w:sz w:val="44"/>
        </w:rPr>
        <w:t>     竞争性</w:t>
      </w:r>
      <w:r>
        <w:rPr>
          <w:rFonts w:ascii="宋体" w:hAnsi="宋体" w:cs="宋体"/>
          <w:b/>
          <w:bCs/>
          <w:color w:val="auto"/>
          <w:kern w:val="0"/>
          <w:sz w:val="44"/>
          <w:highlight w:val="none"/>
        </w:rPr>
        <w:t>谈判采购公告</w:t>
      </w:r>
    </w:p>
    <w:p w14:paraId="56470758">
      <w:pPr>
        <w:widowControl/>
        <w:spacing w:before="75" w:after="75" w:line="435" w:lineRule="atLeast"/>
        <w:ind w:firstLine="482" w:firstLineChars="200"/>
        <w:jc w:val="left"/>
        <w:rPr>
          <w:rFonts w:hint="default" w:ascii="宋体" w:hAnsi="宋体" w:eastAsia="宋体" w:cs="宋体"/>
          <w:color w:val="auto"/>
          <w:kern w:val="0"/>
          <w:sz w:val="24"/>
          <w:highlight w:val="none"/>
          <w:lang w:val="en-US" w:eastAsia="zh-CN"/>
        </w:rPr>
      </w:pPr>
      <w:r>
        <w:rPr>
          <w:rFonts w:hint="eastAsia" w:ascii="宋体" w:hAnsi="宋体" w:cs="宋体"/>
          <w:b/>
          <w:bCs/>
          <w:color w:val="auto"/>
          <w:kern w:val="0"/>
          <w:sz w:val="24"/>
          <w:highlight w:val="none"/>
          <w:u w:val="single"/>
          <w:lang w:eastAsia="zh-CN"/>
        </w:rPr>
        <w:t>南安市疾病预防控制中心</w:t>
      </w:r>
      <w:r>
        <w:rPr>
          <w:rFonts w:ascii="宋体" w:hAnsi="宋体" w:cs="宋体"/>
          <w:color w:val="auto"/>
          <w:kern w:val="0"/>
          <w:sz w:val="24"/>
          <w:highlight w:val="none"/>
        </w:rPr>
        <w:t>已根据政府采购相关法律法规，经相应程序确定采用</w:t>
      </w:r>
      <w:r>
        <w:rPr>
          <w:rFonts w:ascii="宋体" w:hAnsi="宋体" w:cs="宋体"/>
          <w:b/>
          <w:bCs/>
          <w:color w:val="auto"/>
          <w:kern w:val="0"/>
          <w:sz w:val="24"/>
          <w:highlight w:val="none"/>
          <w:u w:val="single"/>
        </w:rPr>
        <w:t>竞争性谈判方式</w:t>
      </w:r>
      <w:r>
        <w:rPr>
          <w:rFonts w:ascii="宋体" w:hAnsi="宋体" w:cs="宋体"/>
          <w:color w:val="auto"/>
          <w:kern w:val="0"/>
          <w:sz w:val="24"/>
          <w:highlight w:val="none"/>
        </w:rPr>
        <w:t>组织</w:t>
      </w:r>
      <w:r>
        <w:rPr>
          <w:rFonts w:hint="eastAsia" w:ascii="宋体" w:hAnsi="宋体" w:cs="宋体"/>
          <w:b/>
          <w:bCs/>
          <w:color w:val="auto"/>
          <w:kern w:val="0"/>
          <w:sz w:val="24"/>
          <w:highlight w:val="none"/>
          <w:u w:val="single"/>
          <w:lang w:eastAsia="zh-CN"/>
        </w:rPr>
        <w:t>南安市疾病预防控制中心生物显微镜和超纯水机等设备采购</w:t>
      </w:r>
      <w:r>
        <w:rPr>
          <w:rFonts w:ascii="宋体" w:hAnsi="宋体" w:cs="宋体"/>
          <w:color w:val="auto"/>
          <w:kern w:val="0"/>
          <w:sz w:val="24"/>
          <w:highlight w:val="none"/>
        </w:rPr>
        <w:t>项目（以下简称：“本项目”）的政府采购活动，现欢迎国内合格的供应商前来参加。本项目由采购人委托</w:t>
      </w:r>
      <w:r>
        <w:rPr>
          <w:rFonts w:hint="eastAsia" w:ascii="宋体" w:hAnsi="宋体" w:cs="宋体"/>
          <w:color w:val="auto"/>
          <w:kern w:val="0"/>
          <w:sz w:val="24"/>
          <w:highlight w:val="none"/>
        </w:rPr>
        <w:t>泉州市新开源项目咨询有限公司</w:t>
      </w:r>
      <w:r>
        <w:rPr>
          <w:rFonts w:ascii="宋体" w:hAnsi="宋体" w:cs="宋体"/>
          <w:color w:val="auto"/>
          <w:kern w:val="0"/>
          <w:sz w:val="24"/>
          <w:highlight w:val="none"/>
        </w:rPr>
        <w:t>开展竞争性谈判活动。</w:t>
      </w:r>
    </w:p>
    <w:p w14:paraId="46BDD352">
      <w:pPr>
        <w:widowControl/>
        <w:spacing w:before="75" w:after="75" w:line="435" w:lineRule="atLeast"/>
        <w:ind w:firstLine="480" w:firstLineChars="200"/>
        <w:jc w:val="left"/>
        <w:rPr>
          <w:rFonts w:hint="eastAsia" w:ascii="宋体" w:hAnsi="宋体" w:cs="宋体"/>
          <w:color w:val="auto"/>
          <w:kern w:val="0"/>
          <w:sz w:val="24"/>
          <w:highlight w:val="none"/>
          <w:shd w:val="clear" w:color="auto" w:fill="FFFFFF"/>
          <w:lang w:eastAsia="zh-CN"/>
        </w:rPr>
      </w:pPr>
      <w:r>
        <w:rPr>
          <w:rFonts w:ascii="宋体" w:hAnsi="宋体" w:cs="宋体"/>
          <w:color w:val="auto"/>
          <w:kern w:val="0"/>
          <w:sz w:val="24"/>
          <w:highlight w:val="none"/>
          <w:shd w:val="clear" w:color="auto" w:fill="FFFFFF"/>
        </w:rPr>
        <w:t>1.项目名称：</w:t>
      </w:r>
      <w:r>
        <w:rPr>
          <w:rFonts w:hint="eastAsia" w:ascii="宋体" w:hAnsi="宋体" w:cs="宋体"/>
          <w:color w:val="auto"/>
          <w:kern w:val="0"/>
          <w:sz w:val="24"/>
          <w:highlight w:val="none"/>
          <w:shd w:val="clear" w:color="auto" w:fill="FFFFFF"/>
          <w:lang w:eastAsia="zh-CN"/>
        </w:rPr>
        <w:t>南安市疾病预防控制中心生物显微镜和超纯水机等设备采购</w:t>
      </w:r>
    </w:p>
    <w:p w14:paraId="7A2660C7">
      <w:pPr>
        <w:widowControl/>
        <w:spacing w:before="75" w:after="75" w:line="435" w:lineRule="atLeast"/>
        <w:ind w:firstLine="480" w:firstLineChars="200"/>
        <w:jc w:val="left"/>
        <w:rPr>
          <w:rFonts w:hint="eastAsia" w:ascii="宋体" w:hAnsi="宋体" w:eastAsia="宋体" w:cs="宋体"/>
          <w:color w:val="auto"/>
          <w:kern w:val="0"/>
          <w:sz w:val="24"/>
          <w:lang w:eastAsia="zh-CN"/>
        </w:rPr>
      </w:pPr>
      <w:r>
        <w:rPr>
          <w:rFonts w:hint="eastAsia" w:ascii="宋体" w:hAnsi="宋体" w:cs="宋体"/>
          <w:color w:val="auto"/>
          <w:kern w:val="0"/>
          <w:sz w:val="24"/>
          <w:shd w:val="clear" w:color="auto" w:fill="FFFFFF"/>
        </w:rPr>
        <w:t>2</w:t>
      </w:r>
      <w:r>
        <w:rPr>
          <w:rFonts w:ascii="宋体" w:hAnsi="宋体" w:cs="宋体"/>
          <w:color w:val="auto"/>
          <w:kern w:val="0"/>
          <w:sz w:val="24"/>
          <w:shd w:val="clear" w:color="auto" w:fill="FFFFFF"/>
        </w:rPr>
        <w:t>.项目编号：</w:t>
      </w:r>
      <w:r>
        <w:rPr>
          <w:rFonts w:hint="eastAsia" w:ascii="宋体" w:hAnsi="宋体" w:cs="宋体"/>
          <w:color w:val="auto"/>
          <w:kern w:val="0"/>
          <w:sz w:val="24"/>
          <w:shd w:val="clear" w:color="auto" w:fill="FFFFFF"/>
          <w:lang w:eastAsia="zh-CN"/>
        </w:rPr>
        <w:t>XKY2025142</w:t>
      </w:r>
    </w:p>
    <w:p w14:paraId="42C59DD4">
      <w:pPr>
        <w:widowControl/>
        <w:spacing w:before="75" w:after="75" w:line="435" w:lineRule="atLeast"/>
        <w:ind w:firstLine="480" w:firstLineChars="200"/>
        <w:jc w:val="left"/>
        <w:rPr>
          <w:rFonts w:ascii="宋体" w:hAnsi="宋体" w:cs="宋体"/>
          <w:color w:val="auto"/>
          <w:kern w:val="0"/>
          <w:sz w:val="24"/>
        </w:rPr>
      </w:pPr>
      <w:r>
        <w:rPr>
          <w:rFonts w:hint="eastAsia" w:ascii="宋体" w:hAnsi="宋体" w:cs="宋体"/>
          <w:color w:val="auto"/>
          <w:kern w:val="0"/>
          <w:sz w:val="24"/>
        </w:rPr>
        <w:t>3</w:t>
      </w:r>
      <w:r>
        <w:rPr>
          <w:rFonts w:ascii="宋体" w:hAnsi="宋体" w:cs="宋体"/>
          <w:color w:val="auto"/>
          <w:kern w:val="0"/>
          <w:sz w:val="24"/>
        </w:rPr>
        <w:t>.采购内容及要求：</w:t>
      </w:r>
    </w:p>
    <w:p w14:paraId="5E5BDC3C">
      <w:pPr>
        <w:widowControl/>
        <w:spacing w:before="100" w:beforeAutospacing="1" w:after="100" w:afterAutospacing="1"/>
        <w:jc w:val="right"/>
        <w:rPr>
          <w:rFonts w:ascii="宋体" w:hAnsi="宋体" w:cs="宋体"/>
          <w:color w:val="auto"/>
          <w:kern w:val="0"/>
          <w:sz w:val="24"/>
        </w:rPr>
      </w:pPr>
      <w:r>
        <w:rPr>
          <w:rFonts w:ascii="宋体" w:hAnsi="宋体" w:cs="宋体"/>
          <w:color w:val="auto"/>
          <w:kern w:val="0"/>
          <w:sz w:val="24"/>
        </w:rPr>
        <w:t xml:space="preserve">金额单位：人民币元 </w:t>
      </w:r>
    </w:p>
    <w:tbl>
      <w:tblPr>
        <w:tblStyle w:val="14"/>
        <w:tblW w:w="8516" w:type="dxa"/>
        <w:tblInd w:w="0" w:type="dxa"/>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fixed"/>
        <w:tblCellMar>
          <w:top w:w="0" w:type="dxa"/>
          <w:left w:w="0" w:type="dxa"/>
          <w:bottom w:w="0" w:type="dxa"/>
          <w:right w:w="0" w:type="dxa"/>
        </w:tblCellMar>
      </w:tblPr>
      <w:tblGrid>
        <w:gridCol w:w="873"/>
        <w:gridCol w:w="863"/>
        <w:gridCol w:w="1988"/>
        <w:gridCol w:w="770"/>
        <w:gridCol w:w="1174"/>
        <w:gridCol w:w="1096"/>
        <w:gridCol w:w="876"/>
        <w:gridCol w:w="876"/>
      </w:tblGrid>
      <w:tr w14:paraId="3AF57A22">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trHeight w:val="731" w:hRule="atLeast"/>
          <w:tblHeader/>
        </w:trPr>
        <w:tc>
          <w:tcPr>
            <w:tcW w:w="873"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21FE9642">
            <w:pPr>
              <w:widowControl/>
              <w:spacing w:before="75" w:after="75" w:line="435" w:lineRule="atLeast"/>
              <w:jc w:val="center"/>
              <w:rPr>
                <w:rFonts w:ascii="宋体" w:hAnsi="宋体" w:cs="宋体"/>
                <w:b w:val="0"/>
                <w:bCs w:val="0"/>
                <w:color w:val="auto"/>
                <w:kern w:val="0"/>
                <w:sz w:val="24"/>
                <w:highlight w:val="none"/>
                <w:shd w:val="clear" w:color="auto" w:fill="FFFFFF"/>
              </w:rPr>
            </w:pPr>
            <w:r>
              <w:rPr>
                <w:rFonts w:ascii="宋体" w:hAnsi="宋体" w:cs="宋体"/>
                <w:b w:val="0"/>
                <w:bCs w:val="0"/>
                <w:color w:val="auto"/>
                <w:kern w:val="0"/>
                <w:sz w:val="24"/>
                <w:highlight w:val="none"/>
                <w:shd w:val="clear" w:color="auto" w:fill="FFFFFF"/>
              </w:rPr>
              <w:t>合同包</w:t>
            </w:r>
          </w:p>
        </w:tc>
        <w:tc>
          <w:tcPr>
            <w:tcW w:w="863"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63DB93DC">
            <w:pPr>
              <w:widowControl/>
              <w:spacing w:before="75" w:after="75" w:line="435" w:lineRule="atLeast"/>
              <w:jc w:val="center"/>
              <w:rPr>
                <w:rFonts w:ascii="宋体" w:hAnsi="宋体" w:cs="宋体"/>
                <w:b w:val="0"/>
                <w:bCs w:val="0"/>
                <w:color w:val="auto"/>
                <w:kern w:val="0"/>
                <w:sz w:val="24"/>
                <w:highlight w:val="none"/>
                <w:shd w:val="clear" w:color="auto" w:fill="FFFFFF"/>
              </w:rPr>
            </w:pPr>
            <w:r>
              <w:rPr>
                <w:rFonts w:ascii="宋体" w:hAnsi="宋体" w:cs="宋体"/>
                <w:b w:val="0"/>
                <w:bCs w:val="0"/>
                <w:color w:val="auto"/>
                <w:kern w:val="0"/>
                <w:sz w:val="24"/>
                <w:highlight w:val="none"/>
                <w:shd w:val="clear" w:color="auto" w:fill="FFFFFF"/>
              </w:rPr>
              <w:t>品目号</w:t>
            </w:r>
          </w:p>
        </w:tc>
        <w:tc>
          <w:tcPr>
            <w:tcW w:w="1988"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358C28FC">
            <w:pPr>
              <w:widowControl/>
              <w:spacing w:before="75" w:after="75" w:line="435" w:lineRule="atLeast"/>
              <w:jc w:val="center"/>
              <w:rPr>
                <w:rFonts w:ascii="宋体" w:hAnsi="宋体" w:cs="宋体"/>
                <w:b w:val="0"/>
                <w:bCs w:val="0"/>
                <w:color w:val="auto"/>
                <w:kern w:val="0"/>
                <w:sz w:val="24"/>
                <w:highlight w:val="none"/>
                <w:shd w:val="clear" w:color="auto" w:fill="FFFFFF"/>
              </w:rPr>
            </w:pPr>
            <w:r>
              <w:rPr>
                <w:rFonts w:ascii="宋体" w:hAnsi="宋体" w:cs="宋体"/>
                <w:b w:val="0"/>
                <w:bCs w:val="0"/>
                <w:color w:val="auto"/>
                <w:kern w:val="0"/>
                <w:sz w:val="24"/>
                <w:highlight w:val="none"/>
                <w:shd w:val="clear" w:color="auto" w:fill="FFFFFF"/>
              </w:rPr>
              <w:t>采购标的</w:t>
            </w:r>
          </w:p>
        </w:tc>
        <w:tc>
          <w:tcPr>
            <w:tcW w:w="770"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67A4DD12">
            <w:pPr>
              <w:widowControl/>
              <w:spacing w:before="75" w:after="75" w:line="435" w:lineRule="atLeast"/>
              <w:jc w:val="center"/>
              <w:rPr>
                <w:rFonts w:ascii="宋体" w:hAnsi="宋体" w:cs="宋体"/>
                <w:b w:val="0"/>
                <w:bCs w:val="0"/>
                <w:color w:val="auto"/>
                <w:kern w:val="0"/>
                <w:sz w:val="24"/>
                <w:highlight w:val="none"/>
                <w:shd w:val="clear" w:color="auto" w:fill="FFFFFF"/>
              </w:rPr>
            </w:pPr>
            <w:r>
              <w:rPr>
                <w:rFonts w:ascii="宋体" w:hAnsi="宋体" w:cs="宋体"/>
                <w:b w:val="0"/>
                <w:bCs w:val="0"/>
                <w:color w:val="auto"/>
                <w:kern w:val="0"/>
                <w:sz w:val="24"/>
                <w:highlight w:val="none"/>
                <w:shd w:val="clear" w:color="auto" w:fill="FFFFFF"/>
              </w:rPr>
              <w:t>数量</w:t>
            </w:r>
          </w:p>
        </w:tc>
        <w:tc>
          <w:tcPr>
            <w:tcW w:w="1174"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0CA7720E">
            <w:pPr>
              <w:widowControl/>
              <w:spacing w:before="75" w:after="75" w:line="435" w:lineRule="atLeast"/>
              <w:jc w:val="center"/>
              <w:rPr>
                <w:rFonts w:ascii="宋体" w:hAnsi="宋体" w:cs="宋体"/>
                <w:b w:val="0"/>
                <w:bCs w:val="0"/>
                <w:color w:val="auto"/>
                <w:kern w:val="0"/>
                <w:sz w:val="24"/>
                <w:highlight w:val="none"/>
                <w:shd w:val="clear" w:color="auto" w:fill="FFFFFF"/>
              </w:rPr>
            </w:pPr>
            <w:r>
              <w:rPr>
                <w:rFonts w:hint="eastAsia" w:ascii="宋体" w:hAnsi="宋体" w:cs="宋体"/>
                <w:b w:val="0"/>
                <w:bCs w:val="0"/>
                <w:color w:val="auto"/>
                <w:kern w:val="0"/>
                <w:sz w:val="24"/>
                <w:highlight w:val="none"/>
                <w:shd w:val="clear" w:color="auto" w:fill="FFFFFF"/>
              </w:rPr>
              <w:t>品目</w:t>
            </w:r>
            <w:r>
              <w:rPr>
                <w:rFonts w:ascii="宋体" w:hAnsi="宋体" w:cs="宋体"/>
                <w:b w:val="0"/>
                <w:bCs w:val="0"/>
                <w:color w:val="auto"/>
                <w:kern w:val="0"/>
                <w:sz w:val="24"/>
                <w:highlight w:val="none"/>
                <w:shd w:val="clear" w:color="auto" w:fill="FFFFFF"/>
              </w:rPr>
              <w:t>预算</w:t>
            </w:r>
            <w:r>
              <w:rPr>
                <w:rFonts w:hint="eastAsia" w:ascii="宋体" w:hAnsi="宋体" w:cs="宋体"/>
                <w:b w:val="0"/>
                <w:bCs w:val="0"/>
                <w:color w:val="auto"/>
                <w:kern w:val="0"/>
                <w:sz w:val="24"/>
                <w:highlight w:val="none"/>
                <w:shd w:val="clear" w:color="auto" w:fill="FFFFFF"/>
              </w:rPr>
              <w:t>金额</w:t>
            </w:r>
          </w:p>
        </w:tc>
        <w:tc>
          <w:tcPr>
            <w:tcW w:w="1096"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29503C3D">
            <w:pPr>
              <w:widowControl/>
              <w:spacing w:before="75" w:after="75" w:line="435" w:lineRule="atLeast"/>
              <w:jc w:val="center"/>
              <w:rPr>
                <w:rFonts w:hint="eastAsia" w:ascii="宋体" w:hAnsi="宋体" w:eastAsia="宋体" w:cs="宋体"/>
                <w:b w:val="0"/>
                <w:bCs w:val="0"/>
                <w:color w:val="auto"/>
                <w:kern w:val="0"/>
                <w:sz w:val="24"/>
                <w:highlight w:val="none"/>
                <w:shd w:val="clear" w:color="auto" w:fill="FFFFFF"/>
              </w:rPr>
            </w:pPr>
            <w:r>
              <w:rPr>
                <w:rFonts w:hint="eastAsia" w:ascii="宋体" w:hAnsi="宋体" w:eastAsia="宋体" w:cs="宋体"/>
                <w:b w:val="0"/>
                <w:bCs w:val="0"/>
                <w:color w:val="auto"/>
                <w:kern w:val="0"/>
                <w:sz w:val="24"/>
                <w:highlight w:val="none"/>
                <w:shd w:val="clear" w:color="auto" w:fill="FFFFFF"/>
              </w:rPr>
              <w:t>总预算金额</w:t>
            </w:r>
          </w:p>
        </w:tc>
        <w:tc>
          <w:tcPr>
            <w:tcW w:w="876"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124A9F09">
            <w:pPr>
              <w:widowControl/>
              <w:spacing w:before="75" w:after="75" w:line="435" w:lineRule="atLeast"/>
              <w:jc w:val="center"/>
              <w:rPr>
                <w:rFonts w:hint="eastAsia" w:ascii="宋体" w:hAnsi="宋体" w:eastAsia="宋体" w:cs="宋体"/>
                <w:b w:val="0"/>
                <w:bCs w:val="0"/>
                <w:color w:val="auto"/>
                <w:kern w:val="0"/>
                <w:sz w:val="24"/>
                <w:highlight w:val="none"/>
                <w:shd w:val="clear" w:color="auto" w:fill="FFFFFF"/>
              </w:rPr>
            </w:pPr>
            <w:r>
              <w:rPr>
                <w:rFonts w:hint="eastAsia" w:ascii="宋体" w:hAnsi="宋体" w:eastAsia="宋体" w:cs="宋体"/>
                <w:b w:val="0"/>
                <w:bCs w:val="0"/>
                <w:color w:val="auto"/>
                <w:kern w:val="0"/>
                <w:sz w:val="24"/>
                <w:highlight w:val="none"/>
                <w:shd w:val="clear" w:color="auto" w:fill="FFFFFF"/>
              </w:rPr>
              <w:t>中小企业划分标准所属行业</w:t>
            </w:r>
          </w:p>
        </w:tc>
        <w:tc>
          <w:tcPr>
            <w:tcW w:w="876"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4C1042D8">
            <w:pPr>
              <w:widowControl/>
              <w:spacing w:before="75" w:after="75" w:line="435" w:lineRule="atLeast"/>
              <w:jc w:val="center"/>
              <w:rPr>
                <w:rFonts w:hint="eastAsia" w:ascii="宋体" w:hAnsi="宋体" w:eastAsia="宋体" w:cs="宋体"/>
                <w:b w:val="0"/>
                <w:bCs w:val="0"/>
                <w:color w:val="auto"/>
                <w:kern w:val="0"/>
                <w:sz w:val="24"/>
                <w:highlight w:val="none"/>
                <w:shd w:val="clear" w:color="auto" w:fill="FFFFFF"/>
              </w:rPr>
            </w:pPr>
            <w:r>
              <w:rPr>
                <w:rFonts w:hint="eastAsia" w:ascii="宋体" w:hAnsi="宋体" w:eastAsia="宋体" w:cs="宋体"/>
                <w:b w:val="0"/>
                <w:bCs w:val="0"/>
                <w:color w:val="auto"/>
                <w:kern w:val="0"/>
                <w:sz w:val="24"/>
                <w:highlight w:val="none"/>
                <w:shd w:val="clear" w:color="auto" w:fill="FFFFFF"/>
              </w:rPr>
              <w:t>谈判保证金</w:t>
            </w:r>
          </w:p>
        </w:tc>
      </w:tr>
      <w:tr w14:paraId="6259C8AB">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trHeight w:val="941" w:hRule="atLeast"/>
          <w:tblHeader/>
        </w:trPr>
        <w:tc>
          <w:tcPr>
            <w:tcW w:w="873" w:type="dxa"/>
            <w:vMerge w:val="restart"/>
            <w:tcBorders>
              <w:top w:val="single" w:color="666666" w:sz="6" w:space="0"/>
              <w:left w:val="single" w:color="666666" w:sz="6" w:space="0"/>
              <w:right w:val="single" w:color="666666" w:sz="6" w:space="0"/>
            </w:tcBorders>
            <w:shd w:val="clear" w:color="auto" w:fill="FFFFFF"/>
            <w:vAlign w:val="center"/>
          </w:tcPr>
          <w:p w14:paraId="203296CA">
            <w:pPr>
              <w:widowControl/>
              <w:spacing w:before="75" w:after="75" w:line="435" w:lineRule="atLeast"/>
              <w:jc w:val="center"/>
              <w:rPr>
                <w:rFonts w:ascii="宋体" w:hAnsi="宋体" w:cs="宋体"/>
                <w:b w:val="0"/>
                <w:bCs w:val="0"/>
                <w:color w:val="auto"/>
                <w:kern w:val="0"/>
                <w:sz w:val="24"/>
                <w:highlight w:val="none"/>
                <w:shd w:val="clear" w:color="auto" w:fill="FFFFFF"/>
              </w:rPr>
            </w:pPr>
            <w:r>
              <w:rPr>
                <w:rFonts w:hint="eastAsia" w:ascii="宋体" w:hAnsi="宋体" w:cs="宋体"/>
                <w:b w:val="0"/>
                <w:bCs w:val="0"/>
                <w:color w:val="auto"/>
                <w:kern w:val="0"/>
                <w:sz w:val="24"/>
                <w:highlight w:val="none"/>
                <w:shd w:val="clear" w:color="auto" w:fill="FFFFFF"/>
              </w:rPr>
              <w:t>1</w:t>
            </w:r>
          </w:p>
        </w:tc>
        <w:tc>
          <w:tcPr>
            <w:tcW w:w="863"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245EBA14">
            <w:pPr>
              <w:widowControl/>
              <w:spacing w:before="75" w:after="75" w:line="435" w:lineRule="atLeast"/>
              <w:jc w:val="center"/>
              <w:rPr>
                <w:rFonts w:ascii="宋体" w:hAnsi="宋体" w:cs="宋体"/>
                <w:b w:val="0"/>
                <w:bCs w:val="0"/>
                <w:color w:val="auto"/>
                <w:kern w:val="0"/>
                <w:sz w:val="24"/>
                <w:highlight w:val="none"/>
                <w:shd w:val="clear" w:color="auto" w:fill="FFFFFF"/>
              </w:rPr>
            </w:pPr>
            <w:r>
              <w:rPr>
                <w:rFonts w:hint="eastAsia" w:ascii="宋体" w:hAnsi="宋体" w:cs="宋体"/>
                <w:b w:val="0"/>
                <w:bCs w:val="0"/>
                <w:color w:val="auto"/>
                <w:kern w:val="0"/>
                <w:sz w:val="24"/>
                <w:highlight w:val="none"/>
                <w:shd w:val="clear" w:color="auto" w:fill="FFFFFF"/>
              </w:rPr>
              <w:t>1-1</w:t>
            </w:r>
          </w:p>
        </w:tc>
        <w:tc>
          <w:tcPr>
            <w:tcW w:w="1988"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71AACD6E">
            <w:pPr>
              <w:widowControl/>
              <w:spacing w:before="75" w:after="75" w:line="435" w:lineRule="atLeast"/>
              <w:jc w:val="center"/>
              <w:rPr>
                <w:rFonts w:hint="eastAsia" w:ascii="宋体" w:hAnsi="宋体" w:eastAsia="宋体" w:cs="宋体"/>
                <w:b w:val="0"/>
                <w:bCs w:val="0"/>
                <w:color w:val="auto"/>
                <w:kern w:val="0"/>
                <w:sz w:val="24"/>
                <w:highlight w:val="none"/>
                <w:shd w:val="clear" w:color="auto" w:fill="FFFFFF"/>
                <w:lang w:eastAsia="zh-CN"/>
              </w:rPr>
            </w:pPr>
            <w:r>
              <w:rPr>
                <w:rFonts w:hint="eastAsia" w:ascii="宋体" w:hAnsi="宋体" w:eastAsia="宋体" w:cs="宋体"/>
                <w:b w:val="0"/>
                <w:bCs w:val="0"/>
                <w:color w:val="auto"/>
                <w:kern w:val="0"/>
                <w:sz w:val="24"/>
                <w:highlight w:val="none"/>
                <w:shd w:val="clear" w:color="auto" w:fill="FFFFFF"/>
                <w:lang w:eastAsia="zh-CN"/>
              </w:rPr>
              <w:t>生物显微镜</w:t>
            </w:r>
          </w:p>
        </w:tc>
        <w:tc>
          <w:tcPr>
            <w:tcW w:w="770"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46475222">
            <w:pPr>
              <w:widowControl/>
              <w:spacing w:before="75" w:after="75" w:line="435" w:lineRule="atLeast"/>
              <w:jc w:val="center"/>
              <w:rPr>
                <w:rFonts w:hint="default" w:eastAsia="宋体"/>
                <w:b w:val="0"/>
                <w:bCs w:val="0"/>
                <w:color w:val="auto"/>
                <w:highlight w:val="none"/>
                <w:lang w:val="en-US" w:eastAsia="zh-CN"/>
              </w:rPr>
            </w:pPr>
            <w:r>
              <w:rPr>
                <w:rFonts w:hint="eastAsia"/>
                <w:b w:val="0"/>
                <w:bCs w:val="0"/>
                <w:color w:val="auto"/>
                <w:highlight w:val="none"/>
                <w:lang w:val="en-US" w:eastAsia="zh-CN"/>
              </w:rPr>
              <w:t>2台</w:t>
            </w:r>
          </w:p>
        </w:tc>
        <w:tc>
          <w:tcPr>
            <w:tcW w:w="1174"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068D6BFD">
            <w:pPr>
              <w:widowControl/>
              <w:spacing w:before="75" w:after="75" w:line="435" w:lineRule="atLeast"/>
              <w:jc w:val="center"/>
              <w:rPr>
                <w:rFonts w:hint="eastAsia" w:ascii="宋体" w:hAnsi="宋体" w:eastAsia="宋体" w:cs="宋体"/>
                <w:b w:val="0"/>
                <w:bCs w:val="0"/>
                <w:color w:val="auto"/>
                <w:kern w:val="0"/>
                <w:sz w:val="24"/>
                <w:highlight w:val="none"/>
                <w:shd w:val="clear" w:color="auto" w:fill="FFFFFF"/>
                <w:lang w:eastAsia="zh-CN"/>
              </w:rPr>
            </w:pPr>
            <w:r>
              <w:rPr>
                <w:rFonts w:hint="eastAsia" w:ascii="宋体" w:hAnsi="宋体" w:cs="宋体"/>
                <w:b w:val="0"/>
                <w:bCs w:val="0"/>
                <w:color w:val="auto"/>
                <w:kern w:val="0"/>
                <w:sz w:val="24"/>
                <w:highlight w:val="none"/>
                <w:shd w:val="clear" w:color="auto" w:fill="FFFFFF"/>
                <w:lang w:val="en-US" w:eastAsia="zh-CN"/>
              </w:rPr>
              <w:t xml:space="preserve">18650.00 </w:t>
            </w:r>
          </w:p>
        </w:tc>
        <w:tc>
          <w:tcPr>
            <w:tcW w:w="1096" w:type="dxa"/>
            <w:vMerge w:val="restart"/>
            <w:tcBorders>
              <w:top w:val="single" w:color="666666" w:sz="6" w:space="0"/>
              <w:left w:val="single" w:color="666666" w:sz="6" w:space="0"/>
              <w:right w:val="single" w:color="666666" w:sz="6" w:space="0"/>
            </w:tcBorders>
            <w:shd w:val="clear" w:color="auto" w:fill="FFFFFF"/>
            <w:vAlign w:val="center"/>
          </w:tcPr>
          <w:p w14:paraId="61B0633D">
            <w:pPr>
              <w:widowControl/>
              <w:spacing w:before="75" w:after="75" w:line="435" w:lineRule="atLeast"/>
              <w:jc w:val="center"/>
              <w:rPr>
                <w:rFonts w:hint="eastAsia" w:ascii="宋体" w:hAnsi="宋体" w:eastAsia="宋体" w:cs="宋体"/>
                <w:b w:val="0"/>
                <w:bCs w:val="0"/>
                <w:color w:val="auto"/>
                <w:kern w:val="0"/>
                <w:sz w:val="24"/>
                <w:highlight w:val="none"/>
                <w:shd w:val="clear" w:color="auto" w:fill="FFFFFF"/>
                <w:lang w:eastAsia="zh-CN"/>
              </w:rPr>
            </w:pPr>
            <w:r>
              <w:rPr>
                <w:rFonts w:hint="eastAsia" w:ascii="宋体" w:hAnsi="宋体" w:cs="宋体"/>
                <w:b w:val="0"/>
                <w:bCs w:val="0"/>
                <w:color w:val="auto"/>
                <w:kern w:val="0"/>
                <w:sz w:val="24"/>
                <w:highlight w:val="none"/>
                <w:shd w:val="clear" w:color="auto" w:fill="FFFFFF"/>
                <w:lang w:val="en-US" w:eastAsia="zh-CN"/>
              </w:rPr>
              <w:t xml:space="preserve">110000.00 </w:t>
            </w:r>
          </w:p>
        </w:tc>
        <w:tc>
          <w:tcPr>
            <w:tcW w:w="876" w:type="dxa"/>
            <w:vMerge w:val="restart"/>
            <w:tcBorders>
              <w:top w:val="single" w:color="666666" w:sz="6" w:space="0"/>
              <w:left w:val="single" w:color="666666" w:sz="6" w:space="0"/>
              <w:right w:val="single" w:color="666666" w:sz="6" w:space="0"/>
            </w:tcBorders>
            <w:shd w:val="clear" w:color="auto" w:fill="FFFFFF"/>
            <w:vAlign w:val="center"/>
          </w:tcPr>
          <w:p w14:paraId="091935C8">
            <w:pPr>
              <w:widowControl/>
              <w:spacing w:before="75" w:after="75" w:line="435" w:lineRule="atLeast"/>
              <w:jc w:val="center"/>
              <w:rPr>
                <w:rFonts w:hint="eastAsia" w:ascii="宋体" w:hAnsi="宋体" w:eastAsia="宋体" w:cs="宋体"/>
                <w:b w:val="0"/>
                <w:bCs w:val="0"/>
                <w:color w:val="auto"/>
                <w:kern w:val="0"/>
                <w:sz w:val="24"/>
                <w:highlight w:val="none"/>
                <w:shd w:val="clear" w:color="auto" w:fill="FFFFFF"/>
                <w:lang w:val="en-US" w:eastAsia="zh-CN"/>
              </w:rPr>
            </w:pPr>
            <w:r>
              <w:rPr>
                <w:rFonts w:hint="eastAsia" w:ascii="宋体" w:hAnsi="宋体" w:cs="宋体"/>
                <w:b w:val="0"/>
                <w:bCs w:val="0"/>
                <w:color w:val="auto"/>
                <w:kern w:val="0"/>
                <w:sz w:val="24"/>
                <w:highlight w:val="none"/>
                <w:shd w:val="clear" w:color="auto" w:fill="FFFFFF"/>
                <w:lang w:val="en-US" w:eastAsia="zh-CN"/>
              </w:rPr>
              <w:t>工业</w:t>
            </w:r>
          </w:p>
        </w:tc>
        <w:tc>
          <w:tcPr>
            <w:tcW w:w="876" w:type="dxa"/>
            <w:vMerge w:val="restart"/>
            <w:tcBorders>
              <w:top w:val="single" w:color="666666" w:sz="6" w:space="0"/>
              <w:left w:val="single" w:color="666666" w:sz="6" w:space="0"/>
              <w:right w:val="single" w:color="666666" w:sz="6" w:space="0"/>
            </w:tcBorders>
            <w:shd w:val="clear" w:color="auto" w:fill="FFFFFF"/>
            <w:vAlign w:val="center"/>
          </w:tcPr>
          <w:p w14:paraId="380B45AB">
            <w:pPr>
              <w:widowControl/>
              <w:spacing w:before="75" w:after="75" w:line="435" w:lineRule="atLeast"/>
              <w:jc w:val="center"/>
              <w:rPr>
                <w:rFonts w:hint="default" w:ascii="宋体" w:hAnsi="宋体" w:eastAsia="宋体" w:cs="宋体"/>
                <w:b w:val="0"/>
                <w:bCs w:val="0"/>
                <w:color w:val="auto"/>
                <w:kern w:val="0"/>
                <w:sz w:val="24"/>
                <w:highlight w:val="none"/>
                <w:shd w:val="clear" w:color="auto" w:fill="FFFFFF"/>
                <w:lang w:val="en-US" w:eastAsia="zh-CN"/>
              </w:rPr>
            </w:pPr>
            <w:r>
              <w:rPr>
                <w:rFonts w:hint="eastAsia" w:ascii="宋体" w:hAnsi="宋体" w:cs="宋体"/>
                <w:b w:val="0"/>
                <w:bCs w:val="0"/>
                <w:color w:val="auto"/>
                <w:kern w:val="0"/>
                <w:sz w:val="24"/>
                <w:highlight w:val="none"/>
                <w:shd w:val="clear" w:color="auto" w:fill="FFFFFF"/>
                <w:lang w:val="en-US" w:eastAsia="zh-CN"/>
              </w:rPr>
              <w:t>2200.00</w:t>
            </w:r>
          </w:p>
        </w:tc>
      </w:tr>
      <w:tr w14:paraId="279C5FD3">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trHeight w:val="941" w:hRule="atLeast"/>
          <w:tblHeader/>
        </w:trPr>
        <w:tc>
          <w:tcPr>
            <w:tcW w:w="873" w:type="dxa"/>
            <w:vMerge w:val="continue"/>
            <w:tcBorders>
              <w:left w:val="single" w:color="666666" w:sz="6" w:space="0"/>
              <w:right w:val="single" w:color="666666" w:sz="6" w:space="0"/>
            </w:tcBorders>
            <w:shd w:val="clear" w:color="auto" w:fill="FFFFFF"/>
            <w:vAlign w:val="center"/>
          </w:tcPr>
          <w:p w14:paraId="2BFC0BD6">
            <w:pPr>
              <w:widowControl/>
              <w:spacing w:before="75" w:after="75" w:line="435" w:lineRule="atLeast"/>
              <w:jc w:val="center"/>
              <w:rPr>
                <w:rFonts w:hint="eastAsia" w:ascii="宋体" w:hAnsi="宋体" w:cs="宋体"/>
                <w:b w:val="0"/>
                <w:bCs w:val="0"/>
                <w:color w:val="auto"/>
                <w:kern w:val="0"/>
                <w:sz w:val="24"/>
                <w:highlight w:val="none"/>
                <w:shd w:val="clear" w:color="auto" w:fill="FFFFFF"/>
              </w:rPr>
            </w:pPr>
          </w:p>
        </w:tc>
        <w:tc>
          <w:tcPr>
            <w:tcW w:w="863"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66BFAE4F">
            <w:pPr>
              <w:widowControl/>
              <w:spacing w:before="75" w:after="75" w:line="435" w:lineRule="atLeast"/>
              <w:jc w:val="center"/>
              <w:rPr>
                <w:rFonts w:hint="default" w:ascii="宋体" w:hAnsi="宋体" w:eastAsia="宋体" w:cs="宋体"/>
                <w:b w:val="0"/>
                <w:bCs w:val="0"/>
                <w:color w:val="auto"/>
                <w:kern w:val="0"/>
                <w:sz w:val="24"/>
                <w:highlight w:val="none"/>
                <w:shd w:val="clear" w:color="auto" w:fill="FFFFFF"/>
                <w:lang w:val="en-US" w:eastAsia="zh-CN"/>
              </w:rPr>
            </w:pPr>
            <w:r>
              <w:rPr>
                <w:rFonts w:hint="eastAsia" w:ascii="宋体" w:hAnsi="宋体" w:cs="宋体"/>
                <w:b w:val="0"/>
                <w:bCs w:val="0"/>
                <w:color w:val="auto"/>
                <w:kern w:val="0"/>
                <w:sz w:val="24"/>
                <w:highlight w:val="none"/>
                <w:shd w:val="clear" w:color="auto" w:fill="FFFFFF"/>
                <w:lang w:val="en-US" w:eastAsia="zh-CN"/>
              </w:rPr>
              <w:t>1-2</w:t>
            </w:r>
          </w:p>
        </w:tc>
        <w:tc>
          <w:tcPr>
            <w:tcW w:w="1988"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3C8B3804">
            <w:pPr>
              <w:widowControl/>
              <w:spacing w:before="75" w:after="75" w:line="435" w:lineRule="atLeast"/>
              <w:jc w:val="center"/>
              <w:rPr>
                <w:rFonts w:hint="eastAsia" w:ascii="宋体" w:hAnsi="宋体" w:cs="宋体"/>
                <w:b w:val="0"/>
                <w:bCs w:val="0"/>
                <w:color w:val="auto"/>
                <w:kern w:val="0"/>
                <w:sz w:val="24"/>
                <w:highlight w:val="none"/>
                <w:shd w:val="clear" w:color="auto" w:fill="FFFFFF"/>
                <w:lang w:eastAsia="zh-CN"/>
              </w:rPr>
            </w:pPr>
            <w:r>
              <w:rPr>
                <w:rFonts w:hint="eastAsia" w:ascii="宋体" w:hAnsi="宋体" w:cs="宋体"/>
                <w:b w:val="0"/>
                <w:bCs w:val="0"/>
                <w:color w:val="auto"/>
                <w:kern w:val="0"/>
                <w:sz w:val="24"/>
                <w:highlight w:val="none"/>
                <w:shd w:val="clear" w:color="auto" w:fill="FFFFFF"/>
                <w:lang w:eastAsia="zh-CN"/>
              </w:rPr>
              <w:t>超纯水机</w:t>
            </w:r>
          </w:p>
        </w:tc>
        <w:tc>
          <w:tcPr>
            <w:tcW w:w="770"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5893F67E">
            <w:pPr>
              <w:widowControl/>
              <w:spacing w:before="75" w:after="75" w:line="435" w:lineRule="atLeast"/>
              <w:jc w:val="center"/>
              <w:rPr>
                <w:rFonts w:hint="eastAsia"/>
                <w:b w:val="0"/>
                <w:bCs w:val="0"/>
                <w:color w:val="auto"/>
                <w:highlight w:val="none"/>
              </w:rPr>
            </w:pPr>
            <w:r>
              <w:rPr>
                <w:rFonts w:hint="eastAsia"/>
                <w:b w:val="0"/>
                <w:bCs w:val="0"/>
                <w:color w:val="auto"/>
                <w:highlight w:val="none"/>
                <w:lang w:val="en-US" w:eastAsia="zh-CN"/>
              </w:rPr>
              <w:t>2台</w:t>
            </w:r>
          </w:p>
        </w:tc>
        <w:tc>
          <w:tcPr>
            <w:tcW w:w="1174"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0B9CC312">
            <w:pPr>
              <w:widowControl/>
              <w:spacing w:before="75" w:after="75" w:line="435" w:lineRule="atLeast"/>
              <w:jc w:val="center"/>
              <w:rPr>
                <w:rFonts w:hint="default" w:ascii="宋体" w:hAnsi="宋体" w:cs="宋体"/>
                <w:b w:val="0"/>
                <w:bCs w:val="0"/>
                <w:color w:val="auto"/>
                <w:kern w:val="0"/>
                <w:sz w:val="24"/>
                <w:highlight w:val="none"/>
                <w:shd w:val="clear" w:color="auto" w:fill="FFFFFF"/>
                <w:lang w:val="en-US" w:eastAsia="zh-CN"/>
              </w:rPr>
            </w:pPr>
            <w:r>
              <w:rPr>
                <w:rFonts w:hint="eastAsia" w:ascii="宋体" w:hAnsi="宋体" w:cs="宋体"/>
                <w:b w:val="0"/>
                <w:bCs w:val="0"/>
                <w:color w:val="auto"/>
                <w:kern w:val="0"/>
                <w:sz w:val="24"/>
                <w:highlight w:val="none"/>
                <w:shd w:val="clear" w:color="auto" w:fill="FFFFFF"/>
                <w:lang w:val="en-US" w:eastAsia="zh-CN"/>
              </w:rPr>
              <w:t>85150.00</w:t>
            </w:r>
          </w:p>
        </w:tc>
        <w:tc>
          <w:tcPr>
            <w:tcW w:w="1096" w:type="dxa"/>
            <w:vMerge w:val="continue"/>
            <w:tcBorders>
              <w:left w:val="single" w:color="666666" w:sz="6" w:space="0"/>
              <w:right w:val="single" w:color="666666" w:sz="6" w:space="0"/>
            </w:tcBorders>
            <w:shd w:val="clear" w:color="auto" w:fill="FFFFFF"/>
            <w:vAlign w:val="center"/>
          </w:tcPr>
          <w:p w14:paraId="5BB40747">
            <w:pPr>
              <w:widowControl/>
              <w:spacing w:before="75" w:after="75" w:line="435" w:lineRule="atLeast"/>
              <w:jc w:val="center"/>
              <w:rPr>
                <w:rFonts w:hint="eastAsia" w:ascii="宋体" w:hAnsi="宋体" w:cs="宋体"/>
                <w:b w:val="0"/>
                <w:bCs w:val="0"/>
                <w:color w:val="auto"/>
                <w:kern w:val="0"/>
                <w:sz w:val="24"/>
                <w:highlight w:val="none"/>
                <w:shd w:val="clear" w:color="auto" w:fill="FFFFFF"/>
                <w:lang w:val="en-US" w:eastAsia="zh-CN"/>
              </w:rPr>
            </w:pPr>
          </w:p>
        </w:tc>
        <w:tc>
          <w:tcPr>
            <w:tcW w:w="876" w:type="dxa"/>
            <w:vMerge w:val="continue"/>
            <w:tcBorders>
              <w:left w:val="single" w:color="666666" w:sz="6" w:space="0"/>
              <w:right w:val="single" w:color="666666" w:sz="6" w:space="0"/>
            </w:tcBorders>
            <w:shd w:val="clear" w:color="auto" w:fill="FFFFFF"/>
            <w:vAlign w:val="center"/>
          </w:tcPr>
          <w:p w14:paraId="1CC40D98">
            <w:pPr>
              <w:widowControl/>
              <w:spacing w:before="75" w:after="75" w:line="435" w:lineRule="atLeast"/>
              <w:jc w:val="center"/>
              <w:rPr>
                <w:rFonts w:hint="eastAsia" w:ascii="宋体" w:hAnsi="宋体" w:cs="宋体"/>
                <w:b w:val="0"/>
                <w:bCs w:val="0"/>
                <w:color w:val="auto"/>
                <w:kern w:val="0"/>
                <w:sz w:val="24"/>
                <w:highlight w:val="none"/>
                <w:shd w:val="clear" w:color="auto" w:fill="FFFFFF"/>
                <w:lang w:val="en-US" w:eastAsia="zh-CN"/>
              </w:rPr>
            </w:pPr>
          </w:p>
        </w:tc>
        <w:tc>
          <w:tcPr>
            <w:tcW w:w="876" w:type="dxa"/>
            <w:vMerge w:val="continue"/>
            <w:tcBorders>
              <w:left w:val="single" w:color="666666" w:sz="6" w:space="0"/>
              <w:right w:val="single" w:color="666666" w:sz="6" w:space="0"/>
            </w:tcBorders>
            <w:shd w:val="clear" w:color="auto" w:fill="FFFFFF"/>
            <w:vAlign w:val="center"/>
          </w:tcPr>
          <w:p w14:paraId="1FA90C48">
            <w:pPr>
              <w:widowControl/>
              <w:spacing w:before="75" w:after="75" w:line="435" w:lineRule="atLeast"/>
              <w:jc w:val="center"/>
              <w:rPr>
                <w:rFonts w:hint="eastAsia" w:ascii="宋体" w:hAnsi="宋体" w:cs="宋体"/>
                <w:b w:val="0"/>
                <w:bCs w:val="0"/>
                <w:color w:val="auto"/>
                <w:kern w:val="0"/>
                <w:sz w:val="24"/>
                <w:highlight w:val="none"/>
                <w:shd w:val="clear" w:color="auto" w:fill="FFFFFF"/>
                <w:lang w:val="en-US" w:eastAsia="zh-CN"/>
              </w:rPr>
            </w:pPr>
          </w:p>
        </w:tc>
      </w:tr>
      <w:tr w14:paraId="7895F974">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trHeight w:val="941" w:hRule="atLeast"/>
          <w:tblHeader/>
        </w:trPr>
        <w:tc>
          <w:tcPr>
            <w:tcW w:w="873" w:type="dxa"/>
            <w:vMerge w:val="continue"/>
            <w:tcBorders>
              <w:left w:val="single" w:color="666666" w:sz="6" w:space="0"/>
              <w:right w:val="single" w:color="666666" w:sz="6" w:space="0"/>
            </w:tcBorders>
            <w:shd w:val="clear" w:color="auto" w:fill="FFFFFF"/>
            <w:vAlign w:val="center"/>
          </w:tcPr>
          <w:p w14:paraId="78CEF24A">
            <w:pPr>
              <w:widowControl/>
              <w:spacing w:before="75" w:after="75" w:line="435" w:lineRule="atLeast"/>
              <w:jc w:val="center"/>
              <w:rPr>
                <w:rFonts w:hint="eastAsia" w:ascii="宋体" w:hAnsi="宋体" w:cs="宋体"/>
                <w:b w:val="0"/>
                <w:bCs w:val="0"/>
                <w:color w:val="auto"/>
                <w:kern w:val="0"/>
                <w:sz w:val="24"/>
                <w:highlight w:val="none"/>
                <w:shd w:val="clear" w:color="auto" w:fill="FFFFFF"/>
              </w:rPr>
            </w:pPr>
          </w:p>
        </w:tc>
        <w:tc>
          <w:tcPr>
            <w:tcW w:w="863"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3EEF6645">
            <w:pPr>
              <w:widowControl/>
              <w:spacing w:before="75" w:after="75" w:line="435" w:lineRule="atLeast"/>
              <w:jc w:val="center"/>
              <w:rPr>
                <w:rFonts w:hint="default" w:ascii="宋体" w:hAnsi="宋体" w:eastAsia="宋体" w:cs="宋体"/>
                <w:b w:val="0"/>
                <w:bCs w:val="0"/>
                <w:color w:val="auto"/>
                <w:kern w:val="0"/>
                <w:sz w:val="24"/>
                <w:highlight w:val="none"/>
                <w:shd w:val="clear" w:color="auto" w:fill="FFFFFF"/>
                <w:lang w:val="en-US" w:eastAsia="zh-CN"/>
              </w:rPr>
            </w:pPr>
            <w:r>
              <w:rPr>
                <w:rFonts w:hint="eastAsia" w:ascii="宋体" w:hAnsi="宋体" w:cs="宋体"/>
                <w:b w:val="0"/>
                <w:bCs w:val="0"/>
                <w:color w:val="auto"/>
                <w:kern w:val="0"/>
                <w:sz w:val="24"/>
                <w:highlight w:val="none"/>
                <w:shd w:val="clear" w:color="auto" w:fill="FFFFFF"/>
                <w:lang w:val="en-US" w:eastAsia="zh-CN"/>
              </w:rPr>
              <w:t>1-3</w:t>
            </w:r>
          </w:p>
        </w:tc>
        <w:tc>
          <w:tcPr>
            <w:tcW w:w="1988"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4E3044FD">
            <w:pPr>
              <w:widowControl/>
              <w:spacing w:before="75" w:after="75" w:line="435" w:lineRule="atLeast"/>
              <w:jc w:val="center"/>
              <w:rPr>
                <w:rFonts w:hint="eastAsia" w:ascii="宋体" w:hAnsi="宋体" w:cs="宋体"/>
                <w:b w:val="0"/>
                <w:bCs w:val="0"/>
                <w:color w:val="auto"/>
                <w:kern w:val="0"/>
                <w:sz w:val="24"/>
                <w:highlight w:val="none"/>
                <w:shd w:val="clear" w:color="auto" w:fill="FFFFFF"/>
                <w:lang w:eastAsia="zh-CN"/>
              </w:rPr>
            </w:pPr>
            <w:r>
              <w:rPr>
                <w:rFonts w:hint="eastAsia" w:ascii="宋体" w:hAnsi="宋体" w:cs="宋体"/>
                <w:b w:val="0"/>
                <w:bCs w:val="0"/>
                <w:color w:val="auto"/>
                <w:kern w:val="0"/>
                <w:sz w:val="24"/>
                <w:highlight w:val="none"/>
                <w:shd w:val="clear" w:color="auto" w:fill="FFFFFF"/>
                <w:lang w:eastAsia="zh-CN"/>
              </w:rPr>
              <w:t>疟原虫各期形态与蠕虫卵鉴别教学玻片套装</w:t>
            </w:r>
          </w:p>
        </w:tc>
        <w:tc>
          <w:tcPr>
            <w:tcW w:w="770"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09AC4F14">
            <w:pPr>
              <w:widowControl/>
              <w:spacing w:before="75" w:after="75" w:line="435" w:lineRule="atLeast"/>
              <w:jc w:val="center"/>
              <w:rPr>
                <w:rFonts w:hint="default" w:eastAsia="宋体"/>
                <w:b w:val="0"/>
                <w:bCs w:val="0"/>
                <w:color w:val="auto"/>
                <w:highlight w:val="none"/>
                <w:lang w:val="en-US" w:eastAsia="zh-CN"/>
              </w:rPr>
            </w:pPr>
            <w:r>
              <w:rPr>
                <w:rFonts w:hint="eastAsia"/>
                <w:b w:val="0"/>
                <w:bCs w:val="0"/>
                <w:color w:val="auto"/>
                <w:highlight w:val="none"/>
                <w:lang w:val="en-US" w:eastAsia="zh-CN"/>
              </w:rPr>
              <w:t>1套</w:t>
            </w:r>
          </w:p>
        </w:tc>
        <w:tc>
          <w:tcPr>
            <w:tcW w:w="1174" w:type="dxa"/>
            <w:tcBorders>
              <w:top w:val="single" w:color="666666" w:sz="6" w:space="0"/>
              <w:left w:val="single" w:color="666666" w:sz="6" w:space="0"/>
              <w:bottom w:val="single" w:color="666666" w:sz="6" w:space="0"/>
              <w:right w:val="single" w:color="666666" w:sz="6" w:space="0"/>
            </w:tcBorders>
            <w:shd w:val="clear" w:color="auto" w:fill="FFFFFF"/>
            <w:vAlign w:val="center"/>
          </w:tcPr>
          <w:p w14:paraId="1147D86E">
            <w:pPr>
              <w:widowControl/>
              <w:spacing w:before="75" w:after="75" w:line="435" w:lineRule="atLeast"/>
              <w:jc w:val="center"/>
              <w:rPr>
                <w:rFonts w:hint="default" w:ascii="宋体" w:hAnsi="宋体" w:cs="宋体"/>
                <w:b w:val="0"/>
                <w:bCs w:val="0"/>
                <w:color w:val="auto"/>
                <w:kern w:val="0"/>
                <w:sz w:val="24"/>
                <w:highlight w:val="none"/>
                <w:shd w:val="clear" w:color="auto" w:fill="FFFFFF"/>
                <w:lang w:val="en-US" w:eastAsia="zh-CN"/>
              </w:rPr>
            </w:pPr>
            <w:r>
              <w:rPr>
                <w:rFonts w:hint="eastAsia" w:ascii="宋体" w:hAnsi="宋体" w:cs="宋体"/>
                <w:b w:val="0"/>
                <w:bCs w:val="0"/>
                <w:color w:val="auto"/>
                <w:kern w:val="0"/>
                <w:sz w:val="24"/>
                <w:highlight w:val="none"/>
                <w:shd w:val="clear" w:color="auto" w:fill="FFFFFF"/>
                <w:lang w:val="en-US" w:eastAsia="zh-CN"/>
              </w:rPr>
              <w:t>6200.00</w:t>
            </w:r>
          </w:p>
        </w:tc>
        <w:tc>
          <w:tcPr>
            <w:tcW w:w="1096" w:type="dxa"/>
            <w:vMerge w:val="continue"/>
            <w:tcBorders>
              <w:left w:val="single" w:color="666666" w:sz="6" w:space="0"/>
              <w:right w:val="single" w:color="666666" w:sz="6" w:space="0"/>
            </w:tcBorders>
            <w:shd w:val="clear" w:color="auto" w:fill="FFFFFF"/>
            <w:vAlign w:val="center"/>
          </w:tcPr>
          <w:p w14:paraId="623CCA92">
            <w:pPr>
              <w:widowControl/>
              <w:spacing w:before="75" w:after="75" w:line="435" w:lineRule="atLeast"/>
              <w:jc w:val="center"/>
              <w:rPr>
                <w:rFonts w:hint="eastAsia" w:ascii="宋体" w:hAnsi="宋体" w:cs="宋体"/>
                <w:b w:val="0"/>
                <w:bCs w:val="0"/>
                <w:color w:val="auto"/>
                <w:kern w:val="0"/>
                <w:sz w:val="24"/>
                <w:highlight w:val="none"/>
                <w:shd w:val="clear" w:color="auto" w:fill="FFFFFF"/>
                <w:lang w:val="en-US" w:eastAsia="zh-CN"/>
              </w:rPr>
            </w:pPr>
          </w:p>
        </w:tc>
        <w:tc>
          <w:tcPr>
            <w:tcW w:w="876" w:type="dxa"/>
            <w:vMerge w:val="continue"/>
            <w:tcBorders>
              <w:left w:val="single" w:color="666666" w:sz="6" w:space="0"/>
              <w:right w:val="single" w:color="666666" w:sz="6" w:space="0"/>
            </w:tcBorders>
            <w:shd w:val="clear" w:color="auto" w:fill="FFFFFF"/>
            <w:vAlign w:val="center"/>
          </w:tcPr>
          <w:p w14:paraId="0B9519B7">
            <w:pPr>
              <w:widowControl/>
              <w:spacing w:before="75" w:after="75" w:line="435" w:lineRule="atLeast"/>
              <w:jc w:val="center"/>
              <w:rPr>
                <w:rFonts w:hint="eastAsia" w:ascii="宋体" w:hAnsi="宋体" w:cs="宋体"/>
                <w:b w:val="0"/>
                <w:bCs w:val="0"/>
                <w:color w:val="auto"/>
                <w:kern w:val="0"/>
                <w:sz w:val="24"/>
                <w:highlight w:val="none"/>
                <w:shd w:val="clear" w:color="auto" w:fill="FFFFFF"/>
                <w:lang w:val="en-US" w:eastAsia="zh-CN"/>
              </w:rPr>
            </w:pPr>
          </w:p>
        </w:tc>
        <w:tc>
          <w:tcPr>
            <w:tcW w:w="876" w:type="dxa"/>
            <w:vMerge w:val="continue"/>
            <w:tcBorders>
              <w:left w:val="single" w:color="666666" w:sz="6" w:space="0"/>
              <w:right w:val="single" w:color="666666" w:sz="6" w:space="0"/>
            </w:tcBorders>
            <w:shd w:val="clear" w:color="auto" w:fill="FFFFFF"/>
            <w:vAlign w:val="center"/>
          </w:tcPr>
          <w:p w14:paraId="16D8432F">
            <w:pPr>
              <w:widowControl/>
              <w:spacing w:before="75" w:after="75" w:line="435" w:lineRule="atLeast"/>
              <w:jc w:val="center"/>
              <w:rPr>
                <w:rFonts w:hint="eastAsia" w:ascii="宋体" w:hAnsi="宋体" w:cs="宋体"/>
                <w:b w:val="0"/>
                <w:bCs w:val="0"/>
                <w:color w:val="auto"/>
                <w:kern w:val="0"/>
                <w:sz w:val="24"/>
                <w:highlight w:val="none"/>
                <w:shd w:val="clear" w:color="auto" w:fill="FFFFFF"/>
                <w:lang w:val="en-US" w:eastAsia="zh-CN"/>
              </w:rPr>
            </w:pPr>
          </w:p>
        </w:tc>
      </w:tr>
    </w:tbl>
    <w:p w14:paraId="5C228F40">
      <w:pPr>
        <w:widowControl/>
        <w:spacing w:before="75" w:after="75" w:line="435" w:lineRule="atLeast"/>
        <w:ind w:firstLine="480" w:firstLineChars="200"/>
        <w:jc w:val="left"/>
        <w:rPr>
          <w:rFonts w:ascii="宋体" w:hAnsi="宋体" w:cs="宋体"/>
          <w:color w:val="auto"/>
          <w:kern w:val="0"/>
          <w:sz w:val="24"/>
        </w:rPr>
      </w:pPr>
      <w:r>
        <w:rPr>
          <w:rFonts w:hint="eastAsia" w:ascii="宋体" w:hAnsi="宋体" w:cs="宋体"/>
          <w:color w:val="auto"/>
          <w:kern w:val="0"/>
          <w:sz w:val="24"/>
          <w:shd w:val="clear" w:color="auto" w:fill="FFFFFF"/>
        </w:rPr>
        <w:t>4</w:t>
      </w:r>
      <w:r>
        <w:rPr>
          <w:rFonts w:ascii="宋体" w:hAnsi="宋体" w:cs="宋体"/>
          <w:color w:val="auto"/>
          <w:kern w:val="0"/>
          <w:sz w:val="24"/>
          <w:shd w:val="clear" w:color="auto" w:fill="FFFFFF"/>
        </w:rPr>
        <w:t>.采购项目需要落实的政府采购政策：</w:t>
      </w:r>
      <w:r>
        <w:rPr>
          <w:rFonts w:hint="eastAsia" w:ascii="宋体" w:hAnsi="宋体" w:cs="宋体"/>
          <w:color w:val="auto"/>
          <w:kern w:val="0"/>
          <w:sz w:val="24"/>
        </w:rPr>
        <w:t>无</w:t>
      </w:r>
      <w:r>
        <w:rPr>
          <w:rFonts w:ascii="宋体" w:hAnsi="宋体" w:cs="宋体"/>
          <w:color w:val="auto"/>
          <w:kern w:val="0"/>
          <w:sz w:val="24"/>
        </w:rPr>
        <w:t>。</w:t>
      </w:r>
    </w:p>
    <w:p w14:paraId="4E875519">
      <w:pPr>
        <w:widowControl/>
        <w:spacing w:before="75" w:after="75" w:line="435" w:lineRule="atLeast"/>
        <w:ind w:firstLine="480" w:firstLineChars="200"/>
        <w:jc w:val="left"/>
        <w:rPr>
          <w:rFonts w:ascii="宋体" w:hAnsi="宋体" w:cs="宋体"/>
          <w:color w:val="auto"/>
          <w:kern w:val="0"/>
          <w:sz w:val="24"/>
          <w:shd w:val="clear" w:color="auto" w:fill="FFFFFF"/>
        </w:rPr>
      </w:pPr>
      <w:r>
        <w:rPr>
          <w:rFonts w:hint="eastAsia" w:ascii="宋体" w:hAnsi="宋体" w:cs="宋体"/>
          <w:color w:val="auto"/>
          <w:kern w:val="0"/>
          <w:sz w:val="24"/>
          <w:shd w:val="clear" w:color="auto" w:fill="FFFFFF"/>
        </w:rPr>
        <w:t>5.供应商的资格要求</w:t>
      </w:r>
    </w:p>
    <w:p w14:paraId="3FA687C8">
      <w:pPr>
        <w:pStyle w:val="12"/>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80" w:lineRule="atLeast"/>
        <w:ind w:left="0" w:right="0" w:firstLine="840"/>
        <w:jc w:val="both"/>
        <w:rPr>
          <w:rFonts w:hint="eastAsia" w:ascii="宋体" w:hAnsi="宋体" w:eastAsia="宋体" w:cs="宋体"/>
          <w:i w:val="0"/>
          <w:iCs w:val="0"/>
          <w:caps w:val="0"/>
          <w:color w:val="auto"/>
          <w:spacing w:val="0"/>
          <w:sz w:val="24"/>
          <w:szCs w:val="24"/>
        </w:rPr>
      </w:pPr>
      <w:r>
        <w:rPr>
          <w:rFonts w:hint="eastAsia" w:ascii="宋体" w:hAnsi="宋体" w:cs="宋体"/>
          <w:color w:val="auto"/>
          <w:kern w:val="0"/>
          <w:sz w:val="24"/>
          <w:shd w:val="clear" w:color="auto" w:fill="FFFFFF"/>
        </w:rPr>
        <w:t>5.1</w:t>
      </w:r>
      <w:r>
        <w:rPr>
          <w:rFonts w:hint="eastAsia" w:ascii="宋体" w:hAnsi="宋体" w:eastAsia="宋体" w:cs="宋体"/>
          <w:i w:val="0"/>
          <w:iCs w:val="0"/>
          <w:caps w:val="0"/>
          <w:color w:val="auto"/>
          <w:spacing w:val="0"/>
          <w:sz w:val="24"/>
          <w:szCs w:val="24"/>
          <w:shd w:val="clear" w:color="090000" w:fill="FFFFFF"/>
        </w:rPr>
        <w:t>法定条件：符合《中华人民共和国政府采购法》第二十二条第一款规定的条件。</w:t>
      </w:r>
    </w:p>
    <w:p w14:paraId="49DC204A">
      <w:pPr>
        <w:pStyle w:val="12"/>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80" w:lineRule="atLeast"/>
        <w:ind w:left="0" w:right="0" w:firstLine="840"/>
        <w:jc w:val="both"/>
        <w:rPr>
          <w:rFonts w:hint="eastAsia" w:ascii="宋体" w:hAnsi="宋体" w:cs="宋体"/>
          <w:color w:val="auto"/>
          <w:kern w:val="0"/>
          <w:sz w:val="24"/>
          <w:shd w:val="clear" w:color="auto" w:fill="FFFFFF"/>
          <w:lang w:val="en-US" w:eastAsia="zh-CN"/>
        </w:rPr>
      </w:pPr>
      <w:r>
        <w:rPr>
          <w:rFonts w:hint="eastAsia" w:ascii="宋体" w:hAnsi="宋体" w:cs="宋体"/>
          <w:color w:val="auto"/>
          <w:kern w:val="0"/>
          <w:sz w:val="24"/>
          <w:shd w:val="clear" w:color="auto" w:fill="FFFFFF"/>
          <w:lang w:val="en-US" w:eastAsia="zh-CN"/>
        </w:rPr>
        <w:t>5.2特定条件：</w:t>
      </w:r>
    </w:p>
    <w:p w14:paraId="5B8D4003">
      <w:pPr>
        <w:pStyle w:val="12"/>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80" w:lineRule="atLeast"/>
        <w:ind w:right="0"/>
        <w:jc w:val="both"/>
        <w:rPr>
          <w:rFonts w:hint="eastAsia" w:ascii="宋体" w:hAnsi="宋体" w:cs="宋体"/>
          <w:color w:val="auto"/>
          <w:kern w:val="0"/>
          <w:sz w:val="24"/>
          <w:shd w:val="clear" w:color="auto" w:fill="FFFFFF"/>
          <w:lang w:val="en-US" w:eastAsia="zh-CN"/>
        </w:rPr>
      </w:pPr>
      <w:r>
        <w:rPr>
          <w:rFonts w:hint="eastAsia" w:ascii="宋体" w:hAnsi="宋体" w:cs="宋体"/>
          <w:color w:val="auto"/>
          <w:kern w:val="0"/>
          <w:sz w:val="24"/>
          <w:shd w:val="clear" w:color="auto" w:fill="FFFFFF"/>
          <w:lang w:val="en-US" w:eastAsia="zh-CN"/>
        </w:rPr>
        <w:t>采购包1：</w:t>
      </w:r>
    </w:p>
    <w:p w14:paraId="6C21AFC9">
      <w:pPr>
        <w:pStyle w:val="12"/>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80" w:lineRule="atLeast"/>
        <w:ind w:left="0" w:right="0" w:firstLine="840"/>
        <w:jc w:val="both"/>
        <w:rPr>
          <w:rFonts w:hint="eastAsia" w:ascii="宋体" w:hAnsi="宋体" w:cs="宋体"/>
          <w:color w:val="auto"/>
          <w:kern w:val="0"/>
          <w:sz w:val="24"/>
          <w:shd w:val="clear" w:color="auto" w:fill="FFFFFF"/>
          <w:lang w:val="en-US" w:eastAsia="zh-CN"/>
        </w:rPr>
      </w:pPr>
      <w:r>
        <w:rPr>
          <w:rFonts w:hint="eastAsia" w:ascii="宋体" w:hAnsi="宋体" w:cs="宋体"/>
          <w:color w:val="auto"/>
          <w:kern w:val="0"/>
          <w:sz w:val="24"/>
          <w:shd w:val="clear" w:color="auto" w:fill="FFFFFF"/>
          <w:lang w:val="en-US" w:eastAsia="zh-CN"/>
        </w:rPr>
        <w:t>无</w:t>
      </w:r>
    </w:p>
    <w:p w14:paraId="36E6FCB7">
      <w:pPr>
        <w:pStyle w:val="12"/>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480" w:lineRule="atLeast"/>
        <w:ind w:left="0" w:right="0" w:firstLine="840"/>
        <w:jc w:val="both"/>
        <w:rPr>
          <w:rFonts w:hint="eastAsia" w:ascii="宋体" w:hAnsi="宋体" w:cs="宋体"/>
          <w:color w:val="auto"/>
          <w:kern w:val="0"/>
          <w:sz w:val="24"/>
          <w:shd w:val="clear" w:color="auto" w:fill="FFFFFF"/>
          <w:lang w:val="en-US" w:eastAsia="zh-CN"/>
        </w:rPr>
      </w:pPr>
      <w:r>
        <w:rPr>
          <w:rFonts w:hint="eastAsia" w:ascii="宋体" w:hAnsi="宋体" w:cs="宋体"/>
          <w:color w:val="auto"/>
          <w:kern w:val="0"/>
          <w:sz w:val="24"/>
          <w:shd w:val="clear" w:color="auto" w:fill="FFFFFF"/>
          <w:lang w:val="en-US" w:eastAsia="zh-CN"/>
        </w:rPr>
        <w:t>5.3是否接受联合体形式的响应谈判：否。</w:t>
      </w:r>
    </w:p>
    <w:p w14:paraId="261CCB26">
      <w:pPr>
        <w:widowControl/>
        <w:spacing w:before="75" w:after="75" w:line="435" w:lineRule="atLeast"/>
        <w:ind w:firstLine="480"/>
        <w:jc w:val="left"/>
        <w:rPr>
          <w:rFonts w:ascii="宋体" w:hAnsi="宋体" w:cs="宋体"/>
          <w:b/>
          <w:bCs/>
          <w:color w:val="auto"/>
          <w:kern w:val="0"/>
          <w:sz w:val="24"/>
        </w:rPr>
      </w:pPr>
      <w:r>
        <w:rPr>
          <w:rFonts w:hint="eastAsia" w:ascii="宋体" w:hAnsi="宋体" w:cs="宋体"/>
          <w:b/>
          <w:bCs/>
          <w:color w:val="auto"/>
          <w:kern w:val="0"/>
          <w:sz w:val="24"/>
        </w:rPr>
        <w:t>※</w:t>
      </w:r>
      <w:r>
        <w:rPr>
          <w:rFonts w:ascii="宋体" w:hAnsi="宋体" w:cs="宋体"/>
          <w:b/>
          <w:bCs/>
          <w:color w:val="auto"/>
          <w:kern w:val="0"/>
          <w:sz w:val="24"/>
        </w:rPr>
        <w:t>根据上述资格要求，供应商响应文件中应提交的“资格证明文件”相关规定和资料要求，详见竞争性谈判须知前附表和谈判文件第五章。</w:t>
      </w:r>
    </w:p>
    <w:p w14:paraId="71130ACF">
      <w:pPr>
        <w:widowControl/>
        <w:spacing w:before="75" w:after="75" w:line="435" w:lineRule="atLeast"/>
        <w:ind w:firstLine="480"/>
        <w:jc w:val="left"/>
        <w:rPr>
          <w:rFonts w:ascii="宋体" w:hAnsi="宋体" w:cs="宋体"/>
          <w:color w:val="auto"/>
          <w:kern w:val="0"/>
          <w:sz w:val="24"/>
        </w:rPr>
      </w:pPr>
      <w:r>
        <w:rPr>
          <w:rFonts w:hint="eastAsia" w:ascii="宋体" w:hAnsi="宋体" w:cs="宋体"/>
          <w:color w:val="auto"/>
          <w:kern w:val="0"/>
          <w:sz w:val="24"/>
        </w:rPr>
        <w:t>6.供应商报名期限：为</w:t>
      </w:r>
      <w:r>
        <w:rPr>
          <w:rFonts w:hint="eastAsia" w:ascii="宋体" w:hAnsi="宋体" w:cs="宋体"/>
          <w:color w:val="auto"/>
          <w:kern w:val="0"/>
          <w:sz w:val="24"/>
          <w:u w:val="single"/>
        </w:rPr>
        <w:t>202</w:t>
      </w:r>
      <w:r>
        <w:rPr>
          <w:rFonts w:hint="eastAsia" w:ascii="宋体" w:hAnsi="宋体" w:cs="宋体"/>
          <w:color w:val="auto"/>
          <w:kern w:val="0"/>
          <w:sz w:val="24"/>
          <w:u w:val="single"/>
          <w:lang w:val="en-US" w:eastAsia="zh-CN"/>
        </w:rPr>
        <w:t>5</w:t>
      </w:r>
      <w:r>
        <w:rPr>
          <w:rFonts w:hint="eastAsia" w:ascii="宋体" w:hAnsi="宋体" w:cs="宋体"/>
          <w:color w:val="auto"/>
          <w:kern w:val="0"/>
          <w:sz w:val="24"/>
        </w:rPr>
        <w:t>年</w:t>
      </w:r>
      <w:r>
        <w:rPr>
          <w:rFonts w:hint="eastAsia" w:ascii="宋体" w:hAnsi="宋体" w:cs="宋体"/>
          <w:color w:val="auto"/>
          <w:kern w:val="0"/>
          <w:sz w:val="24"/>
          <w:u w:val="single"/>
          <w:lang w:val="en-US" w:eastAsia="zh-CN"/>
        </w:rPr>
        <w:t>12</w:t>
      </w:r>
      <w:r>
        <w:rPr>
          <w:rFonts w:hint="eastAsia" w:ascii="宋体" w:hAnsi="宋体" w:cs="宋体"/>
          <w:color w:val="auto"/>
          <w:kern w:val="0"/>
          <w:sz w:val="24"/>
        </w:rPr>
        <w:t>月</w:t>
      </w:r>
      <w:r>
        <w:rPr>
          <w:rFonts w:hint="eastAsia" w:ascii="宋体" w:hAnsi="宋体" w:cs="宋体"/>
          <w:color w:val="auto"/>
          <w:kern w:val="0"/>
          <w:sz w:val="24"/>
          <w:u w:val="single"/>
          <w:lang w:val="en-US" w:eastAsia="zh-CN"/>
        </w:rPr>
        <w:t>22</w:t>
      </w:r>
      <w:r>
        <w:rPr>
          <w:rFonts w:hint="eastAsia" w:ascii="宋体" w:hAnsi="宋体" w:cs="宋体"/>
          <w:color w:val="auto"/>
          <w:kern w:val="0"/>
          <w:sz w:val="24"/>
        </w:rPr>
        <w:t>日至</w:t>
      </w:r>
      <w:r>
        <w:rPr>
          <w:rFonts w:hint="eastAsia" w:ascii="宋体" w:hAnsi="宋体" w:cs="宋体"/>
          <w:color w:val="auto"/>
          <w:kern w:val="0"/>
          <w:sz w:val="24"/>
          <w:u w:val="single"/>
        </w:rPr>
        <w:t>202</w:t>
      </w:r>
      <w:r>
        <w:rPr>
          <w:rFonts w:hint="eastAsia" w:ascii="宋体" w:hAnsi="宋体" w:cs="宋体"/>
          <w:color w:val="auto"/>
          <w:kern w:val="0"/>
          <w:sz w:val="24"/>
          <w:u w:val="single"/>
          <w:lang w:val="en-US" w:eastAsia="zh-CN"/>
        </w:rPr>
        <w:t>5</w:t>
      </w:r>
      <w:r>
        <w:rPr>
          <w:rFonts w:hint="eastAsia" w:ascii="宋体" w:hAnsi="宋体" w:cs="宋体"/>
          <w:color w:val="auto"/>
          <w:kern w:val="0"/>
          <w:sz w:val="24"/>
        </w:rPr>
        <w:t>年</w:t>
      </w:r>
      <w:r>
        <w:rPr>
          <w:rFonts w:hint="eastAsia" w:ascii="宋体" w:hAnsi="宋体" w:cs="宋体"/>
          <w:color w:val="auto"/>
          <w:kern w:val="0"/>
          <w:sz w:val="24"/>
          <w:u w:val="single"/>
          <w:lang w:val="en-US" w:eastAsia="zh-CN"/>
        </w:rPr>
        <w:t>12</w:t>
      </w:r>
      <w:r>
        <w:rPr>
          <w:rFonts w:hint="eastAsia" w:ascii="宋体" w:hAnsi="宋体" w:cs="宋体"/>
          <w:color w:val="auto"/>
          <w:kern w:val="0"/>
          <w:sz w:val="24"/>
        </w:rPr>
        <w:t>月</w:t>
      </w:r>
      <w:r>
        <w:rPr>
          <w:rFonts w:hint="eastAsia" w:ascii="宋体" w:hAnsi="宋体" w:cs="宋体"/>
          <w:color w:val="auto"/>
          <w:kern w:val="0"/>
          <w:sz w:val="24"/>
          <w:u w:val="single"/>
          <w:lang w:val="en-US" w:eastAsia="zh-CN"/>
        </w:rPr>
        <w:t>24</w:t>
      </w:r>
      <w:r>
        <w:rPr>
          <w:rFonts w:hint="eastAsia" w:ascii="宋体" w:hAnsi="宋体" w:cs="宋体"/>
          <w:color w:val="auto"/>
          <w:kern w:val="0"/>
          <w:sz w:val="24"/>
        </w:rPr>
        <w:t>日（</w:t>
      </w:r>
      <w:r>
        <w:rPr>
          <w:rFonts w:hint="eastAsia" w:ascii="宋体" w:hAnsi="宋体" w:cs="宋体"/>
          <w:color w:val="auto"/>
          <w:kern w:val="0"/>
          <w:sz w:val="24"/>
          <w:lang w:val="en-US" w:eastAsia="zh-CN"/>
        </w:rPr>
        <w:t>下</w:t>
      </w:r>
      <w:r>
        <w:rPr>
          <w:rFonts w:hint="eastAsia" w:ascii="宋体" w:hAnsi="宋体" w:cs="宋体"/>
          <w:color w:val="auto"/>
          <w:kern w:val="0"/>
          <w:sz w:val="24"/>
        </w:rPr>
        <w:t>）午</w:t>
      </w:r>
      <w:r>
        <w:rPr>
          <w:rFonts w:hint="eastAsia" w:ascii="宋体" w:hAnsi="宋体" w:cs="宋体"/>
          <w:color w:val="auto"/>
          <w:kern w:val="0"/>
          <w:sz w:val="24"/>
          <w:u w:val="single"/>
          <w:lang w:val="en-US" w:eastAsia="zh-CN"/>
        </w:rPr>
        <w:t>17</w:t>
      </w:r>
      <w:r>
        <w:rPr>
          <w:rFonts w:hint="eastAsia" w:ascii="宋体" w:hAnsi="宋体" w:cs="宋体"/>
          <w:color w:val="auto"/>
          <w:kern w:val="0"/>
          <w:sz w:val="24"/>
          <w:u w:val="single"/>
        </w:rPr>
        <w:t>：</w:t>
      </w:r>
      <w:r>
        <w:rPr>
          <w:rFonts w:hint="eastAsia" w:ascii="宋体" w:hAnsi="宋体" w:cs="宋体"/>
          <w:color w:val="auto"/>
          <w:kern w:val="0"/>
          <w:sz w:val="24"/>
          <w:u w:val="single"/>
          <w:lang w:val="en-US" w:eastAsia="zh-CN"/>
        </w:rPr>
        <w:t>30</w:t>
      </w:r>
      <w:r>
        <w:rPr>
          <w:rFonts w:hint="eastAsia" w:ascii="宋体" w:hAnsi="宋体" w:cs="宋体"/>
          <w:color w:val="auto"/>
          <w:kern w:val="0"/>
          <w:sz w:val="24"/>
        </w:rPr>
        <w:t>止。请合格的谈判供应商在上述期限内的工作时间（北京时间）每天上午8:</w:t>
      </w:r>
      <w:r>
        <w:rPr>
          <w:rFonts w:hint="eastAsia" w:ascii="宋体" w:hAnsi="宋体" w:cs="宋体"/>
          <w:color w:val="auto"/>
          <w:kern w:val="0"/>
          <w:sz w:val="24"/>
          <w:lang w:val="en-US" w:eastAsia="zh-CN"/>
        </w:rPr>
        <w:t>0</w:t>
      </w:r>
      <w:r>
        <w:rPr>
          <w:rFonts w:hint="eastAsia" w:ascii="宋体" w:hAnsi="宋体" w:cs="宋体"/>
          <w:color w:val="auto"/>
          <w:kern w:val="0"/>
          <w:sz w:val="24"/>
        </w:rPr>
        <w:t>0</w:t>
      </w:r>
      <w:bookmarkStart w:id="0" w:name="_GoBack"/>
      <w:r>
        <w:rPr>
          <w:rFonts w:hint="eastAsia" w:ascii="宋体" w:hAnsi="宋体" w:cs="宋体"/>
          <w:color w:val="auto"/>
          <w:kern w:val="0"/>
          <w:sz w:val="24"/>
        </w:rPr>
        <w:t>—12:00时，下午1</w:t>
      </w:r>
      <w:r>
        <w:rPr>
          <w:rFonts w:hint="eastAsia" w:ascii="宋体" w:hAnsi="宋体" w:cs="宋体"/>
          <w:color w:val="auto"/>
          <w:kern w:val="0"/>
          <w:sz w:val="24"/>
          <w:lang w:val="en-US" w:eastAsia="zh-CN"/>
        </w:rPr>
        <w:t>4</w:t>
      </w:r>
      <w:r>
        <w:rPr>
          <w:rFonts w:hint="eastAsia" w:ascii="宋体" w:hAnsi="宋体" w:cs="宋体"/>
          <w:color w:val="auto"/>
          <w:kern w:val="0"/>
          <w:sz w:val="24"/>
        </w:rPr>
        <w:t>:</w:t>
      </w:r>
      <w:r>
        <w:rPr>
          <w:rFonts w:hint="eastAsia" w:ascii="宋体" w:hAnsi="宋体" w:cs="宋体"/>
          <w:color w:val="auto"/>
          <w:kern w:val="0"/>
          <w:sz w:val="24"/>
          <w:lang w:val="en-US" w:eastAsia="zh-CN"/>
        </w:rPr>
        <w:t>3</w:t>
      </w:r>
      <w:r>
        <w:rPr>
          <w:rFonts w:hint="eastAsia" w:ascii="宋体" w:hAnsi="宋体" w:cs="宋体"/>
          <w:color w:val="auto"/>
          <w:kern w:val="0"/>
          <w:sz w:val="24"/>
        </w:rPr>
        <w:t>0—</w:t>
      </w:r>
      <w:r>
        <w:rPr>
          <w:rFonts w:hint="eastAsia" w:ascii="宋体" w:hAnsi="宋体" w:cs="宋体"/>
          <w:color w:val="auto"/>
          <w:kern w:val="0"/>
          <w:sz w:val="24"/>
          <w:lang w:val="en-US" w:eastAsia="zh-CN"/>
        </w:rPr>
        <w:t>17</w:t>
      </w:r>
      <w:r>
        <w:rPr>
          <w:rFonts w:hint="eastAsia" w:ascii="宋体" w:hAnsi="宋体" w:cs="宋体"/>
          <w:color w:val="auto"/>
          <w:kern w:val="0"/>
          <w:sz w:val="24"/>
        </w:rPr>
        <w:t>:</w:t>
      </w:r>
      <w:r>
        <w:rPr>
          <w:rFonts w:hint="eastAsia" w:ascii="宋体" w:hAnsi="宋体" w:cs="宋体"/>
          <w:color w:val="auto"/>
          <w:kern w:val="0"/>
          <w:sz w:val="24"/>
          <w:lang w:val="en-US" w:eastAsia="zh-CN"/>
        </w:rPr>
        <w:t>3</w:t>
      </w:r>
      <w:r>
        <w:rPr>
          <w:rFonts w:hint="eastAsia" w:ascii="宋体" w:hAnsi="宋体" w:cs="宋体"/>
          <w:color w:val="auto"/>
          <w:kern w:val="0"/>
          <w:sz w:val="24"/>
        </w:rPr>
        <w:t>0时至</w:t>
      </w:r>
      <w:r>
        <w:rPr>
          <w:rFonts w:hint="eastAsia" w:ascii="宋体" w:hAnsi="宋体" w:cs="宋体"/>
          <w:color w:val="auto"/>
          <w:kern w:val="0"/>
          <w:sz w:val="24"/>
          <w:u w:val="single"/>
        </w:rPr>
        <w:t>泉州市新开源项目咨询有限公司</w:t>
      </w:r>
      <w:r>
        <w:rPr>
          <w:rFonts w:hint="eastAsia" w:ascii="宋体" w:hAnsi="宋体" w:cs="宋体"/>
          <w:color w:val="auto"/>
          <w:kern w:val="0"/>
          <w:sz w:val="24"/>
        </w:rPr>
        <w:t>购买谈判文</w:t>
      </w:r>
      <w:bookmarkEnd w:id="0"/>
      <w:r>
        <w:rPr>
          <w:rFonts w:hint="eastAsia" w:ascii="宋体" w:hAnsi="宋体" w:cs="宋体"/>
          <w:color w:val="auto"/>
          <w:kern w:val="0"/>
          <w:sz w:val="24"/>
        </w:rPr>
        <w:t>件。</w:t>
      </w:r>
    </w:p>
    <w:p w14:paraId="412DD9F2">
      <w:pPr>
        <w:widowControl/>
        <w:spacing w:before="75" w:after="75" w:line="435" w:lineRule="atLeast"/>
        <w:ind w:firstLine="480"/>
        <w:jc w:val="left"/>
        <w:rPr>
          <w:rFonts w:ascii="宋体" w:hAnsi="宋体" w:cs="宋体"/>
          <w:color w:val="auto"/>
          <w:kern w:val="0"/>
          <w:sz w:val="24"/>
        </w:rPr>
      </w:pPr>
      <w:r>
        <w:rPr>
          <w:rFonts w:hint="eastAsia" w:ascii="宋体" w:hAnsi="宋体" w:cs="宋体"/>
          <w:color w:val="auto"/>
          <w:kern w:val="0"/>
          <w:sz w:val="24"/>
        </w:rPr>
        <w:t>6.1如果采购过程中有发出更正公告，采购人将根据实际情况确定是否延长报名期限，则报名截止时间以更正公告中的约定为准。</w:t>
      </w:r>
    </w:p>
    <w:p w14:paraId="5D5856B2">
      <w:pPr>
        <w:adjustRightInd w:val="0"/>
        <w:snapToGrid w:val="0"/>
        <w:spacing w:line="360" w:lineRule="auto"/>
        <w:ind w:left="120" w:leftChars="57" w:firstLine="360" w:firstLineChars="150"/>
        <w:rPr>
          <w:rFonts w:ascii="宋体" w:hAnsi="宋体"/>
          <w:b/>
          <w:color w:val="auto"/>
          <w:sz w:val="24"/>
          <w:u w:val="single"/>
        </w:rPr>
      </w:pPr>
      <w:r>
        <w:rPr>
          <w:rFonts w:hint="eastAsia" w:ascii="宋体" w:hAnsi="宋体" w:cs="宋体"/>
          <w:color w:val="auto"/>
          <w:kern w:val="0"/>
          <w:sz w:val="24"/>
        </w:rPr>
        <w:t>7.获取地点及方式：</w:t>
      </w:r>
      <w:r>
        <w:rPr>
          <w:rFonts w:hint="eastAsia" w:ascii="宋体" w:hAnsi="宋体"/>
          <w:color w:val="auto"/>
          <w:sz w:val="24"/>
        </w:rPr>
        <w:t>凡愿意参加谈判的合格谈判供应商请于谈判文件公告时间及发售时间内至</w:t>
      </w:r>
      <w:r>
        <w:rPr>
          <w:rFonts w:hint="eastAsia" w:ascii="宋体" w:hAnsi="宋体"/>
          <w:color w:val="auto"/>
          <w:sz w:val="24"/>
          <w:u w:val="single"/>
        </w:rPr>
        <w:t>泉州市新开源项目咨询有限公司</w:t>
      </w:r>
      <w:r>
        <w:rPr>
          <w:rFonts w:hint="eastAsia" w:ascii="宋体" w:hAnsi="宋体"/>
          <w:color w:val="auto"/>
          <w:sz w:val="24"/>
        </w:rPr>
        <w:t>购买谈判文件。逾期或未购买谈判文件的，其投标将被拒绝</w:t>
      </w:r>
      <w:r>
        <w:rPr>
          <w:rFonts w:hint="eastAsia" w:ascii="宋体" w:hAnsi="宋体"/>
          <w:b/>
          <w:color w:val="auto"/>
          <w:sz w:val="24"/>
          <w:u w:val="single"/>
        </w:rPr>
        <w:t>[注：报名时需提供报名表（所报项目名称、采购编号、谈判供应商全称、联系人、联系电话、传真、邮箱）。]</w:t>
      </w:r>
    </w:p>
    <w:p w14:paraId="2B9CD0FF">
      <w:pPr>
        <w:numPr>
          <w:ilvl w:val="0"/>
          <w:numId w:val="1"/>
        </w:numPr>
        <w:adjustRightInd w:val="0"/>
        <w:snapToGrid w:val="0"/>
        <w:spacing w:line="360" w:lineRule="auto"/>
        <w:ind w:left="120" w:leftChars="57" w:firstLine="360" w:firstLineChars="150"/>
        <w:rPr>
          <w:rFonts w:ascii="宋体" w:hAnsi="宋体" w:cs="宋体"/>
          <w:color w:val="auto"/>
          <w:kern w:val="0"/>
          <w:sz w:val="24"/>
        </w:rPr>
      </w:pPr>
      <w:r>
        <w:rPr>
          <w:rFonts w:hint="eastAsia" w:ascii="宋体" w:hAnsi="宋体" w:cs="宋体"/>
          <w:color w:val="auto"/>
          <w:kern w:val="0"/>
          <w:sz w:val="24"/>
        </w:rPr>
        <w:t>谈判文件售价：300元，如需邮寄另加50元，售后不退。没有按约定购买竞争性谈判文件的供应商，谈判将被拒绝。</w:t>
      </w:r>
    </w:p>
    <w:p w14:paraId="5C69D444">
      <w:pPr>
        <w:adjustRightInd w:val="0"/>
        <w:snapToGrid w:val="0"/>
        <w:spacing w:line="360" w:lineRule="auto"/>
        <w:ind w:left="435" w:leftChars="207"/>
        <w:rPr>
          <w:rFonts w:ascii="宋体" w:hAnsi="宋体" w:cs="宋体"/>
          <w:color w:val="auto"/>
          <w:kern w:val="0"/>
          <w:sz w:val="24"/>
          <w:u w:val="single"/>
        </w:rPr>
      </w:pPr>
      <w:r>
        <w:rPr>
          <w:rFonts w:hint="eastAsia" w:ascii="宋体" w:hAnsi="宋体" w:cs="宋体"/>
          <w:color w:val="auto"/>
          <w:kern w:val="0"/>
          <w:sz w:val="24"/>
        </w:rPr>
        <w:t>9.谈判文件递交截止时间及地点：</w:t>
      </w:r>
    </w:p>
    <w:p w14:paraId="7F1D972A">
      <w:pPr>
        <w:widowControl/>
        <w:spacing w:before="75" w:after="75" w:line="435" w:lineRule="atLeast"/>
        <w:ind w:firstLine="480"/>
        <w:jc w:val="left"/>
        <w:rPr>
          <w:rFonts w:ascii="宋体" w:hAnsi="宋体" w:cs="宋体"/>
          <w:color w:val="auto"/>
          <w:kern w:val="0"/>
          <w:sz w:val="24"/>
        </w:rPr>
      </w:pPr>
      <w:r>
        <w:rPr>
          <w:rFonts w:hint="eastAsia" w:ascii="宋体" w:hAnsi="宋体" w:cs="宋体"/>
          <w:color w:val="auto"/>
          <w:kern w:val="0"/>
          <w:sz w:val="24"/>
        </w:rPr>
        <w:t>9.1谈判文件递交截止时间：</w:t>
      </w:r>
      <w:r>
        <w:rPr>
          <w:rFonts w:hint="eastAsia" w:ascii="宋体" w:hAnsi="宋体" w:cs="宋体"/>
          <w:color w:val="auto"/>
          <w:kern w:val="0"/>
          <w:sz w:val="24"/>
          <w:u w:val="single"/>
        </w:rPr>
        <w:t>202</w:t>
      </w:r>
      <w:r>
        <w:rPr>
          <w:rFonts w:hint="eastAsia" w:ascii="宋体" w:hAnsi="宋体" w:cs="宋体"/>
          <w:color w:val="auto"/>
          <w:kern w:val="0"/>
          <w:sz w:val="24"/>
          <w:u w:val="single"/>
          <w:lang w:val="en-US" w:eastAsia="zh-CN"/>
        </w:rPr>
        <w:t>5</w:t>
      </w:r>
      <w:r>
        <w:rPr>
          <w:rFonts w:hint="eastAsia" w:ascii="宋体" w:hAnsi="宋体" w:cs="宋体"/>
          <w:color w:val="auto"/>
          <w:kern w:val="0"/>
          <w:sz w:val="24"/>
        </w:rPr>
        <w:t>年</w:t>
      </w:r>
      <w:r>
        <w:rPr>
          <w:rFonts w:hint="eastAsia" w:ascii="宋体" w:hAnsi="宋体" w:cs="宋体"/>
          <w:color w:val="auto"/>
          <w:kern w:val="0"/>
          <w:sz w:val="24"/>
          <w:u w:val="single"/>
          <w:lang w:val="en-US" w:eastAsia="zh-CN"/>
        </w:rPr>
        <w:t>12</w:t>
      </w:r>
      <w:r>
        <w:rPr>
          <w:rFonts w:hint="eastAsia" w:ascii="宋体" w:hAnsi="宋体" w:cs="宋体"/>
          <w:color w:val="auto"/>
          <w:kern w:val="0"/>
          <w:sz w:val="24"/>
        </w:rPr>
        <w:t>月</w:t>
      </w:r>
      <w:r>
        <w:rPr>
          <w:rFonts w:hint="eastAsia" w:ascii="宋体" w:hAnsi="宋体" w:cs="宋体"/>
          <w:color w:val="auto"/>
          <w:kern w:val="0"/>
          <w:sz w:val="24"/>
          <w:u w:val="single"/>
          <w:lang w:val="en-US" w:eastAsia="zh-CN"/>
        </w:rPr>
        <w:t>25</w:t>
      </w:r>
      <w:r>
        <w:rPr>
          <w:rFonts w:hint="eastAsia" w:ascii="宋体" w:hAnsi="宋体" w:cs="宋体"/>
          <w:color w:val="auto"/>
          <w:kern w:val="0"/>
          <w:sz w:val="24"/>
        </w:rPr>
        <w:t>日（</w:t>
      </w:r>
      <w:r>
        <w:rPr>
          <w:rFonts w:hint="eastAsia" w:ascii="宋体" w:hAnsi="宋体" w:cs="宋体"/>
          <w:color w:val="auto"/>
          <w:kern w:val="0"/>
          <w:sz w:val="24"/>
          <w:lang w:val="en-US" w:eastAsia="zh-CN"/>
        </w:rPr>
        <w:t>下</w:t>
      </w:r>
      <w:r>
        <w:rPr>
          <w:rFonts w:hint="eastAsia" w:ascii="宋体" w:hAnsi="宋体" w:cs="宋体"/>
          <w:color w:val="auto"/>
          <w:kern w:val="0"/>
          <w:sz w:val="24"/>
        </w:rPr>
        <w:t>）午</w:t>
      </w:r>
      <w:r>
        <w:rPr>
          <w:rFonts w:hint="eastAsia" w:ascii="宋体" w:hAnsi="宋体" w:cs="宋体"/>
          <w:color w:val="auto"/>
          <w:kern w:val="0"/>
          <w:sz w:val="24"/>
          <w:u w:val="single"/>
          <w:lang w:val="en-US" w:eastAsia="zh-CN"/>
        </w:rPr>
        <w:t>16:30</w:t>
      </w:r>
      <w:r>
        <w:rPr>
          <w:rFonts w:hint="eastAsia" w:ascii="宋体" w:hAnsi="宋体" w:cs="宋体"/>
          <w:color w:val="auto"/>
          <w:kern w:val="0"/>
          <w:sz w:val="24"/>
        </w:rPr>
        <w:t>时(北京时间)。</w:t>
      </w:r>
    </w:p>
    <w:p w14:paraId="5EDE71F4">
      <w:pPr>
        <w:widowControl/>
        <w:spacing w:before="75" w:after="75" w:line="435" w:lineRule="atLeast"/>
        <w:ind w:firstLine="480"/>
        <w:jc w:val="left"/>
        <w:rPr>
          <w:rFonts w:ascii="宋体" w:hAnsi="宋体" w:cs="宋体"/>
          <w:color w:val="auto"/>
          <w:kern w:val="0"/>
          <w:sz w:val="24"/>
          <w:u w:val="none"/>
        </w:rPr>
      </w:pPr>
      <w:r>
        <w:rPr>
          <w:rFonts w:hint="eastAsia" w:ascii="宋体" w:hAnsi="宋体" w:cs="宋体"/>
          <w:color w:val="auto"/>
          <w:kern w:val="0"/>
          <w:sz w:val="24"/>
          <w:u w:val="none"/>
        </w:rPr>
        <w:t>9.2谈判文件递交地点：</w:t>
      </w:r>
      <w:r>
        <w:rPr>
          <w:rFonts w:hint="eastAsia" w:ascii="宋体" w:hAnsi="宋体" w:cs="宋体"/>
          <w:color w:val="auto"/>
          <w:kern w:val="0"/>
          <w:sz w:val="24"/>
          <w:u w:val="single"/>
          <w:lang w:eastAsia="zh-CN"/>
        </w:rPr>
        <w:t>南安市美林街道中骏雍景湾6号楼3201室</w:t>
      </w:r>
      <w:r>
        <w:rPr>
          <w:rFonts w:hint="eastAsia" w:ascii="宋体" w:hAnsi="宋体" w:cs="宋体"/>
          <w:color w:val="auto"/>
          <w:kern w:val="0"/>
          <w:sz w:val="24"/>
          <w:u w:val="none"/>
        </w:rPr>
        <w:t>。</w:t>
      </w:r>
    </w:p>
    <w:p w14:paraId="1A7550B0">
      <w:pPr>
        <w:widowControl/>
        <w:spacing w:before="75" w:after="75" w:line="435" w:lineRule="atLeast"/>
        <w:ind w:firstLine="480"/>
        <w:jc w:val="left"/>
        <w:rPr>
          <w:rFonts w:ascii="宋体" w:hAnsi="宋体" w:cs="宋体"/>
          <w:color w:val="auto"/>
          <w:kern w:val="0"/>
          <w:sz w:val="24"/>
        </w:rPr>
      </w:pPr>
      <w:r>
        <w:rPr>
          <w:rFonts w:hint="eastAsia" w:ascii="宋体" w:hAnsi="宋体" w:cs="宋体"/>
          <w:color w:val="auto"/>
          <w:kern w:val="0"/>
          <w:sz w:val="24"/>
        </w:rPr>
        <w:t>9.3供应商应在此之前将密封的响应文件送达本章第10条载明的地点，逾期送达的或不符合规定的响应文件将被拒绝接收。</w:t>
      </w:r>
    </w:p>
    <w:p w14:paraId="35B604F4">
      <w:pPr>
        <w:widowControl/>
        <w:spacing w:before="75" w:after="75" w:line="435" w:lineRule="atLeast"/>
        <w:ind w:firstLine="480"/>
        <w:jc w:val="left"/>
        <w:rPr>
          <w:rFonts w:ascii="宋体" w:hAnsi="宋体" w:cs="宋体"/>
          <w:color w:val="auto"/>
          <w:kern w:val="0"/>
          <w:sz w:val="24"/>
        </w:rPr>
      </w:pPr>
      <w:r>
        <w:rPr>
          <w:rFonts w:hint="eastAsia" w:ascii="宋体" w:hAnsi="宋体" w:cs="宋体"/>
          <w:color w:val="auto"/>
          <w:kern w:val="0"/>
          <w:sz w:val="24"/>
        </w:rPr>
        <w:t>10.谈判时间及地点：</w:t>
      </w:r>
    </w:p>
    <w:p w14:paraId="450F27FA">
      <w:pPr>
        <w:widowControl/>
        <w:spacing w:before="75" w:after="75" w:line="435" w:lineRule="atLeast"/>
        <w:ind w:firstLine="480"/>
        <w:jc w:val="left"/>
        <w:rPr>
          <w:rFonts w:ascii="宋体" w:hAnsi="宋体" w:cs="宋体"/>
          <w:color w:val="auto"/>
          <w:kern w:val="0"/>
          <w:sz w:val="24"/>
        </w:rPr>
      </w:pPr>
      <w:r>
        <w:rPr>
          <w:rFonts w:hint="eastAsia" w:ascii="宋体" w:hAnsi="宋体" w:cs="宋体"/>
          <w:color w:val="auto"/>
          <w:kern w:val="0"/>
          <w:sz w:val="24"/>
        </w:rPr>
        <w:t>10.1谈判时间：</w:t>
      </w:r>
      <w:r>
        <w:rPr>
          <w:rFonts w:hint="eastAsia" w:ascii="宋体" w:hAnsi="宋体" w:cs="宋体"/>
          <w:color w:val="auto"/>
          <w:kern w:val="0"/>
          <w:sz w:val="24"/>
          <w:u w:val="single"/>
        </w:rPr>
        <w:t>202</w:t>
      </w:r>
      <w:r>
        <w:rPr>
          <w:rFonts w:hint="eastAsia" w:ascii="宋体" w:hAnsi="宋体" w:cs="宋体"/>
          <w:color w:val="auto"/>
          <w:kern w:val="0"/>
          <w:sz w:val="24"/>
          <w:u w:val="single"/>
          <w:lang w:val="en-US" w:eastAsia="zh-CN"/>
        </w:rPr>
        <w:t>5</w:t>
      </w:r>
      <w:r>
        <w:rPr>
          <w:rFonts w:hint="eastAsia" w:ascii="宋体" w:hAnsi="宋体" w:cs="宋体"/>
          <w:color w:val="auto"/>
          <w:kern w:val="0"/>
          <w:sz w:val="24"/>
        </w:rPr>
        <w:t>年</w:t>
      </w:r>
      <w:r>
        <w:rPr>
          <w:rFonts w:hint="eastAsia" w:ascii="宋体" w:hAnsi="宋体" w:cs="宋体"/>
          <w:color w:val="auto"/>
          <w:kern w:val="0"/>
          <w:sz w:val="24"/>
          <w:u w:val="single"/>
          <w:lang w:val="en-US" w:eastAsia="zh-CN"/>
        </w:rPr>
        <w:t>12</w:t>
      </w:r>
      <w:r>
        <w:rPr>
          <w:rFonts w:hint="eastAsia" w:ascii="宋体" w:hAnsi="宋体" w:cs="宋体"/>
          <w:color w:val="auto"/>
          <w:kern w:val="0"/>
          <w:sz w:val="24"/>
        </w:rPr>
        <w:t>月</w:t>
      </w:r>
      <w:r>
        <w:rPr>
          <w:rFonts w:hint="eastAsia" w:ascii="宋体" w:hAnsi="宋体" w:cs="宋体"/>
          <w:color w:val="auto"/>
          <w:kern w:val="0"/>
          <w:sz w:val="24"/>
          <w:u w:val="single"/>
          <w:lang w:val="en-US" w:eastAsia="zh-CN"/>
        </w:rPr>
        <w:t>25</w:t>
      </w:r>
      <w:r>
        <w:rPr>
          <w:rFonts w:hint="eastAsia" w:ascii="宋体" w:hAnsi="宋体" w:cs="宋体"/>
          <w:color w:val="auto"/>
          <w:kern w:val="0"/>
          <w:sz w:val="24"/>
        </w:rPr>
        <w:t>日（</w:t>
      </w:r>
      <w:r>
        <w:rPr>
          <w:rFonts w:hint="eastAsia" w:ascii="宋体" w:hAnsi="宋体" w:cs="宋体"/>
          <w:color w:val="auto"/>
          <w:kern w:val="0"/>
          <w:sz w:val="24"/>
          <w:lang w:val="en-US" w:eastAsia="zh-CN"/>
        </w:rPr>
        <w:t>下</w:t>
      </w:r>
      <w:r>
        <w:rPr>
          <w:rFonts w:hint="eastAsia" w:ascii="宋体" w:hAnsi="宋体" w:cs="宋体"/>
          <w:color w:val="auto"/>
          <w:kern w:val="0"/>
          <w:sz w:val="24"/>
        </w:rPr>
        <w:t>）午</w:t>
      </w:r>
      <w:r>
        <w:rPr>
          <w:rFonts w:hint="eastAsia" w:ascii="宋体" w:hAnsi="宋体" w:cs="宋体"/>
          <w:color w:val="auto"/>
          <w:kern w:val="0"/>
          <w:sz w:val="24"/>
          <w:u w:val="single"/>
          <w:lang w:val="en-US" w:eastAsia="zh-CN"/>
        </w:rPr>
        <w:t>16:30</w:t>
      </w:r>
      <w:r>
        <w:rPr>
          <w:rFonts w:hint="eastAsia" w:ascii="宋体" w:hAnsi="宋体" w:cs="宋体"/>
          <w:color w:val="auto"/>
          <w:kern w:val="0"/>
          <w:sz w:val="24"/>
        </w:rPr>
        <w:t>时(北京时间)。</w:t>
      </w:r>
    </w:p>
    <w:p w14:paraId="23F6437A">
      <w:pPr>
        <w:widowControl/>
        <w:spacing w:before="75" w:after="75" w:line="435" w:lineRule="atLeast"/>
        <w:ind w:firstLine="480"/>
        <w:jc w:val="left"/>
        <w:rPr>
          <w:rFonts w:ascii="宋体" w:hAnsi="宋体" w:cs="宋体"/>
          <w:color w:val="auto"/>
          <w:kern w:val="0"/>
          <w:sz w:val="24"/>
        </w:rPr>
      </w:pPr>
      <w:r>
        <w:rPr>
          <w:rFonts w:hint="eastAsia" w:ascii="宋体" w:hAnsi="宋体" w:cs="宋体"/>
          <w:color w:val="auto"/>
          <w:kern w:val="0"/>
          <w:sz w:val="24"/>
        </w:rPr>
        <w:t>10.2谈判地点：</w:t>
      </w:r>
      <w:r>
        <w:rPr>
          <w:rFonts w:hint="eastAsia" w:ascii="宋体" w:hAnsi="宋体" w:cs="宋体"/>
          <w:color w:val="auto"/>
          <w:kern w:val="0"/>
          <w:sz w:val="24"/>
          <w:u w:val="single"/>
          <w:lang w:eastAsia="zh-CN"/>
        </w:rPr>
        <w:t>南安市美林街道中骏雍景湾6号楼3201室</w:t>
      </w:r>
      <w:r>
        <w:rPr>
          <w:rFonts w:hint="eastAsia" w:ascii="宋体" w:hAnsi="宋体" w:cs="宋体"/>
          <w:color w:val="auto"/>
          <w:kern w:val="0"/>
          <w:sz w:val="24"/>
          <w:u w:val="single"/>
        </w:rPr>
        <w:t>。</w:t>
      </w:r>
    </w:p>
    <w:p w14:paraId="5518109E">
      <w:pPr>
        <w:widowControl/>
        <w:spacing w:before="75" w:after="75" w:line="435" w:lineRule="atLeast"/>
        <w:ind w:firstLine="480"/>
        <w:jc w:val="left"/>
        <w:rPr>
          <w:rFonts w:ascii="宋体" w:hAnsi="宋体" w:cs="宋体"/>
          <w:color w:val="auto"/>
          <w:kern w:val="0"/>
          <w:sz w:val="24"/>
        </w:rPr>
      </w:pPr>
      <w:r>
        <w:rPr>
          <w:rFonts w:hint="eastAsia" w:ascii="宋体" w:hAnsi="宋体" w:cs="宋体"/>
          <w:color w:val="auto"/>
          <w:kern w:val="0"/>
          <w:sz w:val="24"/>
        </w:rPr>
        <w:t>11.竞争性谈判公告期限：自采购公告发布之日起3个工作日。</w:t>
      </w:r>
    </w:p>
    <w:p w14:paraId="0A638E34">
      <w:pPr>
        <w:widowControl/>
        <w:spacing w:before="75" w:after="75" w:line="435" w:lineRule="atLeast"/>
        <w:ind w:firstLine="480"/>
        <w:jc w:val="left"/>
        <w:rPr>
          <w:rFonts w:ascii="宋体" w:hAnsi="宋体" w:cs="宋体"/>
          <w:color w:val="auto"/>
          <w:kern w:val="0"/>
          <w:sz w:val="24"/>
        </w:rPr>
      </w:pPr>
      <w:r>
        <w:rPr>
          <w:rFonts w:hint="eastAsia" w:ascii="宋体" w:hAnsi="宋体" w:cs="宋体"/>
          <w:color w:val="auto"/>
          <w:kern w:val="0"/>
          <w:sz w:val="24"/>
        </w:rPr>
        <w:t>12.根据《中华人民共和国政府采购法》第五十二条规定，供应商认为谈判文件、采购过程和中标结果使自己的权益受到损害的，可根据中华人民共和国国务院令第658号令《中华人民共和国政府采购法实施条例》第五十三条提出质疑：对谈判文件质疑的，可以在收到谈判文件之日或者谈判文件公告期限届满之日提出；对采购过程质疑的，可以在各采购程序环节结束之日提出；对中标结果质疑的，可以在中标结果公告期限届满之日提出；均以书面形式向采购人提出质疑澄清，口头质疑不予接受。质疑函的格式应当参照财政部官方网站提供的质疑函范本，针对同一采购程序环节的质疑应当在法定质疑期内一次性提出，否则将不予受理。</w:t>
      </w:r>
    </w:p>
    <w:p w14:paraId="0F27A847">
      <w:pPr>
        <w:widowControl/>
        <w:spacing w:before="75" w:after="75" w:line="435" w:lineRule="atLeast"/>
        <w:ind w:firstLine="480" w:firstLineChars="200"/>
        <w:jc w:val="left"/>
        <w:rPr>
          <w:rFonts w:ascii="宋体" w:hAnsi="宋体" w:cs="宋体"/>
          <w:color w:val="auto"/>
          <w:kern w:val="0"/>
          <w:sz w:val="24"/>
        </w:rPr>
      </w:pPr>
      <w:r>
        <w:rPr>
          <w:rFonts w:hint="eastAsia" w:ascii="宋体" w:hAnsi="宋体" w:cs="宋体"/>
          <w:color w:val="auto"/>
          <w:kern w:val="0"/>
          <w:sz w:val="24"/>
        </w:rPr>
        <w:t>注：(1)质疑供货商将该函（原件）和相关证据盖公章在规定的时间内送达招标代理机构及采购单位。</w:t>
      </w:r>
    </w:p>
    <w:p w14:paraId="7692B5FD">
      <w:pPr>
        <w:widowControl/>
        <w:spacing w:before="75" w:after="75" w:line="435" w:lineRule="atLeast"/>
        <w:ind w:firstLine="480" w:firstLineChars="200"/>
        <w:jc w:val="left"/>
        <w:rPr>
          <w:rFonts w:ascii="宋体" w:hAnsi="宋体" w:cs="宋体"/>
          <w:color w:val="auto"/>
          <w:kern w:val="0"/>
          <w:sz w:val="24"/>
        </w:rPr>
      </w:pPr>
      <w:r>
        <w:rPr>
          <w:rFonts w:hint="eastAsia" w:ascii="宋体" w:hAnsi="宋体" w:cs="宋体"/>
          <w:color w:val="auto"/>
          <w:kern w:val="0"/>
          <w:sz w:val="24"/>
        </w:rPr>
        <w:t>（2）送达时需提供营业执照副本复印件并加盖公章，否则不予受理。</w:t>
      </w:r>
    </w:p>
    <w:p w14:paraId="3960098C">
      <w:pPr>
        <w:widowControl/>
        <w:spacing w:before="75" w:after="75" w:line="435" w:lineRule="atLeast"/>
        <w:ind w:firstLine="480" w:firstLineChars="200"/>
        <w:jc w:val="left"/>
        <w:rPr>
          <w:rFonts w:ascii="宋体" w:hAnsi="宋体" w:cs="宋体"/>
          <w:color w:val="auto"/>
          <w:kern w:val="0"/>
          <w:sz w:val="24"/>
        </w:rPr>
      </w:pPr>
      <w:r>
        <w:rPr>
          <w:rFonts w:hint="eastAsia" w:ascii="宋体" w:hAnsi="宋体" w:cs="宋体"/>
          <w:color w:val="auto"/>
          <w:kern w:val="0"/>
          <w:sz w:val="24"/>
        </w:rPr>
        <w:t>（3）非法定代表人送达时，授权代表须提供法定代表人授权书和法定代表人及授权代表的身份证复印件及为授权代表缴交的近3个月社保缴费证明材料,并加盖公章，否则不予受理。</w:t>
      </w:r>
    </w:p>
    <w:p w14:paraId="526DFB60">
      <w:pPr>
        <w:pStyle w:val="12"/>
        <w:spacing w:before="75" w:beforeAutospacing="0" w:after="75" w:afterAutospacing="0" w:line="435" w:lineRule="atLeast"/>
        <w:ind w:firstLine="480" w:firstLineChars="200"/>
        <w:rPr>
          <w:rFonts w:hint="eastAsia" w:eastAsia="宋体"/>
          <w:color w:val="auto"/>
          <w:highlight w:val="none"/>
          <w:lang w:eastAsia="zh-CN"/>
        </w:rPr>
      </w:pPr>
      <w:r>
        <w:rPr>
          <w:rFonts w:hint="eastAsia"/>
          <w:color w:val="auto"/>
          <w:highlight w:val="none"/>
          <w:shd w:val="clear" w:color="auto" w:fill="FFFFFF"/>
        </w:rPr>
        <w:t>13.</w:t>
      </w:r>
      <w:r>
        <w:rPr>
          <w:rFonts w:hint="eastAsia"/>
          <w:color w:val="auto"/>
          <w:highlight w:val="none"/>
          <w:shd w:val="clear" w:color="auto" w:fill="FFFFFF"/>
          <w:lang w:eastAsia="zh-CN"/>
        </w:rPr>
        <w:t>有关本项目谈判的相关信息（包括谈判文件若有修改）均发布于</w:t>
      </w:r>
      <w:r>
        <w:rPr>
          <w:rFonts w:hint="eastAsia" w:ascii="宋体" w:hAnsi="宋体" w:eastAsia="宋体" w:cs="宋体"/>
          <w:b/>
          <w:bCs/>
          <w:color w:val="auto"/>
          <w:sz w:val="24"/>
          <w:szCs w:val="24"/>
        </w:rPr>
        <w:t>南安市紧密型医共体招采供平台（http://nazb.51zhaobiao.cn/f）、微信公众号“南安疾控”</w:t>
      </w:r>
      <w:r>
        <w:rPr>
          <w:rFonts w:hint="eastAsia"/>
          <w:color w:val="auto"/>
          <w:highlight w:val="none"/>
          <w:shd w:val="clear" w:color="auto" w:fill="FFFFFF"/>
          <w:lang w:eastAsia="zh-CN"/>
        </w:rPr>
        <w:t>不作另行通知，请潜在投标供应商随时关注相关网站，以免错漏重要信息。</w:t>
      </w:r>
    </w:p>
    <w:p w14:paraId="5AADDD14">
      <w:pPr>
        <w:widowControl/>
        <w:spacing w:before="75" w:after="75" w:line="435" w:lineRule="atLeast"/>
        <w:ind w:firstLine="480"/>
        <w:jc w:val="left"/>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rPr>
        <w:t>14.采购人：</w:t>
      </w:r>
      <w:r>
        <w:rPr>
          <w:rFonts w:hint="eastAsia" w:ascii="宋体" w:hAnsi="宋体" w:cs="宋体"/>
          <w:color w:val="auto"/>
          <w:kern w:val="0"/>
          <w:sz w:val="24"/>
          <w:highlight w:val="none"/>
          <w:lang w:eastAsia="zh-CN"/>
        </w:rPr>
        <w:t>南安市疾病预防控制中心</w:t>
      </w:r>
    </w:p>
    <w:p w14:paraId="048F8136">
      <w:pPr>
        <w:widowControl/>
        <w:spacing w:before="75" w:after="75" w:line="435" w:lineRule="atLeast"/>
        <w:ind w:firstLine="840" w:firstLineChars="350"/>
        <w:jc w:val="left"/>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rPr>
        <w:t>地 址：柳城街道江北大道2999号</w:t>
      </w:r>
    </w:p>
    <w:p w14:paraId="1B8C7A70">
      <w:pPr>
        <w:widowControl/>
        <w:spacing w:before="75" w:after="75" w:line="435" w:lineRule="atLeast"/>
        <w:ind w:firstLine="840" w:firstLineChars="350"/>
        <w:jc w:val="left"/>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rPr>
        <w:t>联系人：</w:t>
      </w:r>
      <w:r>
        <w:rPr>
          <w:rFonts w:hint="eastAsia" w:ascii="宋体" w:hAnsi="宋体" w:cs="宋体"/>
          <w:color w:val="auto"/>
          <w:kern w:val="0"/>
          <w:sz w:val="24"/>
          <w:highlight w:val="none"/>
          <w:lang w:val="en-US" w:eastAsia="zh-CN"/>
        </w:rPr>
        <w:t>康工</w:t>
      </w:r>
      <w:r>
        <w:rPr>
          <w:rFonts w:hint="eastAsia" w:ascii="宋体" w:hAnsi="宋体" w:cs="宋体"/>
          <w:color w:val="auto"/>
          <w:kern w:val="0"/>
          <w:sz w:val="24"/>
          <w:highlight w:val="none"/>
          <w:lang w:eastAsia="zh-CN"/>
        </w:rPr>
        <w:t>，</w:t>
      </w:r>
      <w:r>
        <w:rPr>
          <w:rFonts w:hint="eastAsia" w:ascii="宋体" w:hAnsi="宋体" w:cs="宋体"/>
          <w:color w:val="auto"/>
          <w:kern w:val="0"/>
          <w:sz w:val="24"/>
          <w:highlight w:val="none"/>
        </w:rPr>
        <w:t>联系方法：</w:t>
      </w:r>
      <w:r>
        <w:rPr>
          <w:rFonts w:hint="eastAsia" w:ascii="宋体" w:hAnsi="宋体" w:cs="宋体"/>
          <w:color w:val="auto"/>
          <w:kern w:val="0"/>
          <w:sz w:val="24"/>
          <w:highlight w:val="none"/>
          <w:lang w:val="en-US" w:eastAsia="zh-CN"/>
        </w:rPr>
        <w:t xml:space="preserve">0595-86008018  </w:t>
      </w:r>
    </w:p>
    <w:p w14:paraId="4E85349F">
      <w:pPr>
        <w:widowControl/>
        <w:spacing w:before="75" w:after="75" w:line="435" w:lineRule="atLeast"/>
        <w:ind w:left="535" w:leftChars="255"/>
        <w:jc w:val="left"/>
        <w:rPr>
          <w:rFonts w:ascii="宋体" w:hAnsi="宋体" w:cs="宋体"/>
          <w:color w:val="auto"/>
          <w:kern w:val="0"/>
          <w:sz w:val="24"/>
        </w:rPr>
      </w:pPr>
      <w:r>
        <w:rPr>
          <w:rFonts w:hint="eastAsia" w:ascii="宋体" w:hAnsi="宋体" w:cs="宋体"/>
          <w:color w:val="auto"/>
          <w:kern w:val="0"/>
          <w:sz w:val="24"/>
        </w:rPr>
        <w:t>15.代理机构：泉州市新开源项目咨询有限公司</w:t>
      </w:r>
    </w:p>
    <w:p w14:paraId="0B1AD5E6">
      <w:pPr>
        <w:widowControl/>
        <w:spacing w:before="75" w:after="75" w:line="435" w:lineRule="atLeast"/>
        <w:ind w:left="535" w:leftChars="255" w:firstLine="360" w:firstLineChars="150"/>
        <w:jc w:val="left"/>
        <w:rPr>
          <w:rFonts w:ascii="宋体" w:hAnsi="宋体" w:cs="宋体"/>
          <w:color w:val="auto"/>
          <w:kern w:val="0"/>
          <w:sz w:val="24"/>
        </w:rPr>
      </w:pPr>
      <w:r>
        <w:rPr>
          <w:rFonts w:hint="eastAsia" w:ascii="宋体" w:hAnsi="宋体" w:cs="宋体"/>
          <w:color w:val="auto"/>
          <w:kern w:val="0"/>
          <w:sz w:val="24"/>
        </w:rPr>
        <w:t>地址：泉州市丰泽区东湖街凤山南段金贸大厦A栋823</w:t>
      </w:r>
    </w:p>
    <w:p w14:paraId="64D2E631">
      <w:pPr>
        <w:adjustRightInd w:val="0"/>
        <w:snapToGrid w:val="0"/>
        <w:spacing w:line="300" w:lineRule="auto"/>
        <w:ind w:firstLine="960" w:firstLineChars="400"/>
        <w:rPr>
          <w:rFonts w:ascii="宋体" w:hAnsi="宋体"/>
          <w:color w:val="auto"/>
          <w:sz w:val="24"/>
        </w:rPr>
      </w:pPr>
      <w:r>
        <w:rPr>
          <w:rFonts w:hint="eastAsia" w:ascii="宋体" w:hAnsi="宋体"/>
          <w:color w:val="auto"/>
          <w:sz w:val="24"/>
        </w:rPr>
        <w:t>联 系 人：黄先生</w:t>
      </w:r>
      <w:r>
        <w:rPr>
          <w:rFonts w:hint="eastAsia" w:ascii="宋体" w:hAnsi="宋体"/>
          <w:color w:val="auto"/>
          <w:sz w:val="24"/>
          <w:lang w:eastAsia="zh-CN"/>
        </w:rPr>
        <w:t>，</w:t>
      </w:r>
      <w:r>
        <w:rPr>
          <w:rFonts w:hint="eastAsia" w:ascii="宋体" w:hAnsi="宋体"/>
          <w:color w:val="auto"/>
          <w:sz w:val="24"/>
        </w:rPr>
        <w:t>联系电话：</w:t>
      </w:r>
      <w:r>
        <w:rPr>
          <w:rFonts w:ascii="宋体" w:hAnsi="宋体"/>
          <w:color w:val="auto"/>
          <w:sz w:val="24"/>
        </w:rPr>
        <w:t>0595</w:t>
      </w:r>
      <w:r>
        <w:rPr>
          <w:rFonts w:hint="eastAsia" w:ascii="宋体" w:hAnsi="宋体"/>
          <w:color w:val="auto"/>
          <w:sz w:val="24"/>
        </w:rPr>
        <w:t>－22000151</w:t>
      </w:r>
    </w:p>
    <w:p w14:paraId="70F45E19">
      <w:pPr>
        <w:adjustRightInd w:val="0"/>
        <w:snapToGrid w:val="0"/>
        <w:spacing w:line="300" w:lineRule="auto"/>
        <w:ind w:firstLine="960" w:firstLineChars="400"/>
        <w:rPr>
          <w:rFonts w:ascii="宋体" w:hAnsi="宋体"/>
          <w:color w:val="auto"/>
          <w:sz w:val="24"/>
        </w:rPr>
      </w:pPr>
      <w:r>
        <w:rPr>
          <w:rFonts w:hint="eastAsia" w:ascii="宋体" w:hAnsi="宋体"/>
          <w:color w:val="auto"/>
          <w:sz w:val="24"/>
        </w:rPr>
        <w:t>电子邮箱：</w:t>
      </w:r>
      <w:r>
        <w:rPr>
          <w:rFonts w:ascii="宋体" w:hAnsi="宋体"/>
          <w:color w:val="auto"/>
          <w:sz w:val="24"/>
          <w:u w:val="single"/>
        </w:rPr>
        <w:t>1052441299@qq.com</w:t>
      </w:r>
    </w:p>
    <w:p w14:paraId="5D285425">
      <w:pPr>
        <w:pStyle w:val="12"/>
        <w:spacing w:line="320" w:lineRule="exact"/>
        <w:rPr>
          <w:rFonts w:hint="eastAsia" w:ascii="宋体" w:hAnsi="宋体" w:cs="宋体"/>
          <w:b/>
          <w:bCs/>
          <w:color w:val="auto"/>
          <w:highlight w:val="none"/>
        </w:rPr>
      </w:pPr>
    </w:p>
    <w:p w14:paraId="77BE4E34">
      <w:pPr>
        <w:pStyle w:val="12"/>
        <w:spacing w:line="320" w:lineRule="exact"/>
        <w:rPr>
          <w:rFonts w:hint="eastAsia" w:ascii="宋体" w:hAnsi="宋体" w:cs="宋体"/>
          <w:b/>
          <w:bCs/>
          <w:color w:val="auto"/>
          <w:highlight w:val="none"/>
        </w:rPr>
      </w:pPr>
    </w:p>
    <w:p w14:paraId="5AB1124E">
      <w:pPr>
        <w:pStyle w:val="12"/>
        <w:spacing w:line="320" w:lineRule="exact"/>
        <w:rPr>
          <w:rFonts w:hint="eastAsia" w:ascii="宋体" w:hAnsi="宋体" w:cs="宋体"/>
          <w:b/>
          <w:bCs/>
          <w:color w:val="auto"/>
          <w:highlight w:val="none"/>
        </w:rPr>
      </w:pPr>
    </w:p>
    <w:p w14:paraId="06210C86">
      <w:pPr>
        <w:pStyle w:val="12"/>
        <w:spacing w:line="320" w:lineRule="exact"/>
        <w:rPr>
          <w:rFonts w:hint="eastAsia" w:ascii="宋体" w:hAnsi="宋体" w:cs="宋体"/>
          <w:b/>
          <w:bCs/>
          <w:color w:val="auto"/>
          <w:highlight w:val="none"/>
        </w:rPr>
      </w:pPr>
    </w:p>
    <w:p w14:paraId="795C2CB1">
      <w:pPr>
        <w:pStyle w:val="12"/>
        <w:spacing w:line="320" w:lineRule="exact"/>
        <w:rPr>
          <w:rFonts w:hint="eastAsia" w:ascii="宋体" w:hAnsi="宋体" w:cs="宋体"/>
          <w:b/>
          <w:bCs/>
          <w:color w:val="auto"/>
          <w:highlight w:val="none"/>
        </w:rPr>
      </w:pPr>
    </w:p>
    <w:p w14:paraId="49C0A59F">
      <w:pPr>
        <w:pStyle w:val="12"/>
        <w:spacing w:line="320" w:lineRule="exact"/>
        <w:rPr>
          <w:rFonts w:ascii="宋体" w:hAnsi="宋体" w:cs="宋体"/>
          <w:b/>
          <w:bCs/>
          <w:color w:val="auto"/>
          <w:highlight w:val="none"/>
        </w:rPr>
      </w:pPr>
      <w:r>
        <w:rPr>
          <w:rFonts w:hint="eastAsia" w:ascii="宋体" w:hAnsi="宋体" w:cs="宋体"/>
          <w:b/>
          <w:bCs/>
          <w:color w:val="auto"/>
          <w:highlight w:val="none"/>
        </w:rPr>
        <w:t>附：账户信息</w:t>
      </w:r>
    </w:p>
    <w:tbl>
      <w:tblPr>
        <w:tblStyle w:val="14"/>
        <w:tblW w:w="87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21"/>
      </w:tblGrid>
      <w:tr w14:paraId="7D519C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8721" w:type="dxa"/>
            <w:vAlign w:val="center"/>
          </w:tcPr>
          <w:p w14:paraId="74791208">
            <w:pPr>
              <w:pStyle w:val="12"/>
              <w:spacing w:line="330" w:lineRule="exact"/>
              <w:jc w:val="center"/>
              <w:rPr>
                <w:rFonts w:hint="eastAsia" w:ascii="宋体" w:hAnsi="宋体" w:cs="宋体"/>
                <w:b/>
                <w:bCs/>
                <w:color w:val="auto"/>
                <w:highlight w:val="none"/>
              </w:rPr>
            </w:pPr>
            <w:r>
              <w:rPr>
                <w:rStyle w:val="17"/>
                <w:rFonts w:hint="eastAsia" w:ascii="宋体" w:hAnsi="宋体" w:cs="宋体"/>
                <w:color w:val="auto"/>
                <w:highlight w:val="none"/>
              </w:rPr>
              <w:t>账户信息</w:t>
            </w:r>
          </w:p>
        </w:tc>
      </w:tr>
      <w:tr w14:paraId="097A2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8721" w:type="dxa"/>
            <w:vAlign w:val="top"/>
          </w:tcPr>
          <w:p w14:paraId="59900004">
            <w:pPr>
              <w:pStyle w:val="12"/>
              <w:spacing w:line="330" w:lineRule="exact"/>
              <w:jc w:val="both"/>
              <w:rPr>
                <w:rFonts w:hint="eastAsia" w:ascii="宋体" w:hAnsi="宋体" w:cs="宋体"/>
                <w:b/>
                <w:bCs/>
                <w:color w:val="auto"/>
                <w:highlight w:val="none"/>
              </w:rPr>
            </w:pPr>
            <w:r>
              <w:rPr>
                <w:rFonts w:hint="eastAsia" w:ascii="宋体" w:hAnsi="宋体" w:cs="宋体"/>
                <w:color w:val="auto"/>
                <w:highlight w:val="none"/>
              </w:rPr>
              <w:t>开户名称：</w:t>
            </w:r>
            <w:r>
              <w:rPr>
                <w:rFonts w:hint="eastAsia" w:ascii="宋体" w:hAnsi="宋体" w:cs="宋体"/>
                <w:color w:val="auto"/>
                <w:highlight w:val="none"/>
                <w:u w:val="single"/>
                <w:shd w:val="clear" w:color="auto" w:fill="FFFFFF"/>
              </w:rPr>
              <w:t>泉州市新开源项目咨询有限公司</w:t>
            </w:r>
          </w:p>
        </w:tc>
      </w:tr>
      <w:tr w14:paraId="2E0E9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8721" w:type="dxa"/>
            <w:vAlign w:val="top"/>
          </w:tcPr>
          <w:p w14:paraId="0BE171C8">
            <w:pPr>
              <w:pStyle w:val="12"/>
              <w:spacing w:line="330" w:lineRule="exact"/>
              <w:jc w:val="both"/>
              <w:rPr>
                <w:rFonts w:ascii="宋体" w:hAnsi="宋体" w:cs="宋体"/>
                <w:b/>
                <w:bCs/>
                <w:color w:val="auto"/>
                <w:highlight w:val="none"/>
              </w:rPr>
            </w:pPr>
            <w:r>
              <w:rPr>
                <w:rFonts w:hint="eastAsia" w:ascii="宋体" w:hAnsi="宋体" w:cs="宋体"/>
                <w:color w:val="auto"/>
                <w:highlight w:val="none"/>
              </w:rPr>
              <w:t>开户银行：</w:t>
            </w:r>
            <w:r>
              <w:rPr>
                <w:rFonts w:hint="eastAsia" w:ascii="宋体" w:hAnsi="宋体" w:cs="宋体"/>
                <w:color w:val="auto"/>
                <w:highlight w:val="none"/>
                <w:u w:val="single"/>
              </w:rPr>
              <w:t xml:space="preserve">中国银行股份有限公司丰泽支行 </w:t>
            </w:r>
          </w:p>
        </w:tc>
      </w:tr>
      <w:tr w14:paraId="107F1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8721" w:type="dxa"/>
            <w:vAlign w:val="top"/>
          </w:tcPr>
          <w:p w14:paraId="4A9C0DBF">
            <w:pPr>
              <w:pStyle w:val="12"/>
              <w:spacing w:line="330" w:lineRule="exact"/>
              <w:jc w:val="both"/>
              <w:rPr>
                <w:rFonts w:ascii="宋体" w:hAnsi="宋体" w:cs="宋体"/>
                <w:b/>
                <w:bCs/>
                <w:color w:val="auto"/>
                <w:highlight w:val="none"/>
              </w:rPr>
            </w:pPr>
            <w:r>
              <w:rPr>
                <w:rFonts w:hint="eastAsia" w:ascii="宋体" w:hAnsi="宋体" w:cs="宋体"/>
                <w:color w:val="auto"/>
                <w:highlight w:val="none"/>
              </w:rPr>
              <w:t>银行账号：</w:t>
            </w:r>
            <w:r>
              <w:rPr>
                <w:rFonts w:hint="eastAsia" w:ascii="宋体" w:hAnsi="宋体" w:cs="宋体"/>
                <w:color w:val="auto"/>
                <w:highlight w:val="none"/>
                <w:u w:val="single"/>
              </w:rPr>
              <w:t>414376406334</w:t>
            </w:r>
          </w:p>
        </w:tc>
      </w:tr>
      <w:tr w14:paraId="78EF3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8721" w:type="dxa"/>
            <w:vAlign w:val="center"/>
          </w:tcPr>
          <w:p w14:paraId="175BE4EF">
            <w:pPr>
              <w:pStyle w:val="12"/>
              <w:spacing w:line="330" w:lineRule="exact"/>
              <w:jc w:val="center"/>
              <w:rPr>
                <w:rFonts w:hint="eastAsia" w:ascii="宋体" w:hAnsi="宋体" w:eastAsia="宋体" w:cs="宋体"/>
                <w:b/>
                <w:bCs/>
                <w:color w:val="auto"/>
                <w:highlight w:val="none"/>
                <w:lang w:eastAsia="zh-CN"/>
              </w:rPr>
            </w:pPr>
            <w:r>
              <w:rPr>
                <w:rFonts w:hint="eastAsia" w:ascii="宋体" w:hAnsi="宋体" w:cs="宋体"/>
                <w:b/>
                <w:bCs/>
                <w:color w:val="auto"/>
                <w:highlight w:val="none"/>
                <w:lang w:val="en-US" w:eastAsia="zh-CN"/>
              </w:rPr>
              <w:t>谈判</w:t>
            </w:r>
            <w:r>
              <w:rPr>
                <w:rFonts w:hint="eastAsia" w:ascii="宋体" w:hAnsi="宋体" w:cs="宋体"/>
                <w:b/>
                <w:bCs/>
                <w:color w:val="auto"/>
                <w:highlight w:val="none"/>
              </w:rPr>
              <w:t>保证金提交</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若有</w:t>
            </w:r>
            <w:r>
              <w:rPr>
                <w:rFonts w:hint="eastAsia" w:ascii="宋体" w:hAnsi="宋体" w:cs="宋体"/>
                <w:b/>
                <w:bCs/>
                <w:color w:val="auto"/>
                <w:highlight w:val="none"/>
                <w:lang w:eastAsia="zh-CN"/>
              </w:rPr>
              <w:t>）</w:t>
            </w:r>
          </w:p>
        </w:tc>
      </w:tr>
      <w:tr w14:paraId="40694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5" w:hRule="atLeast"/>
          <w:jc w:val="center"/>
        </w:trPr>
        <w:tc>
          <w:tcPr>
            <w:tcW w:w="8721" w:type="dxa"/>
            <w:vAlign w:val="top"/>
          </w:tcPr>
          <w:p w14:paraId="4C875373">
            <w:pPr>
              <w:pStyle w:val="12"/>
              <w:spacing w:beforeAutospacing="0" w:afterAutospacing="0" w:line="435" w:lineRule="atLeast"/>
              <w:ind w:firstLine="480" w:firstLineChars="200"/>
              <w:rPr>
                <w:color w:val="auto"/>
                <w:highlight w:val="none"/>
              </w:rPr>
            </w:pPr>
            <w:r>
              <w:rPr>
                <w:rFonts w:hint="eastAsia"/>
                <w:color w:val="auto"/>
                <w:highlight w:val="none"/>
              </w:rPr>
              <w:t>1、请供应商务必认真核对账户信息，将</w:t>
            </w:r>
            <w:r>
              <w:rPr>
                <w:rFonts w:hint="eastAsia"/>
                <w:color w:val="auto"/>
                <w:highlight w:val="none"/>
                <w:lang w:eastAsia="zh-CN"/>
              </w:rPr>
              <w:t>谈判保证金</w:t>
            </w:r>
            <w:r>
              <w:rPr>
                <w:rFonts w:hint="eastAsia"/>
                <w:color w:val="auto"/>
                <w:highlight w:val="none"/>
              </w:rPr>
              <w:t>款项汇入对应账户，并自行承担因款项汇错而产生的一切后果。</w:t>
            </w:r>
          </w:p>
          <w:p w14:paraId="6BAF8157">
            <w:pPr>
              <w:pStyle w:val="12"/>
              <w:spacing w:beforeAutospacing="0" w:afterAutospacing="0" w:line="435" w:lineRule="atLeast"/>
              <w:ind w:firstLine="480" w:firstLineChars="200"/>
              <w:rPr>
                <w:color w:val="auto"/>
                <w:highlight w:val="none"/>
              </w:rPr>
            </w:pPr>
            <w:r>
              <w:rPr>
                <w:rFonts w:hint="eastAsia"/>
                <w:color w:val="auto"/>
                <w:highlight w:val="none"/>
              </w:rPr>
              <w:t>2、</w:t>
            </w:r>
            <w:r>
              <w:rPr>
                <w:rFonts w:hint="eastAsia"/>
                <w:color w:val="auto"/>
                <w:highlight w:val="none"/>
                <w:lang w:eastAsia="zh-CN"/>
              </w:rPr>
              <w:t>谈判供应商</w:t>
            </w:r>
            <w:r>
              <w:rPr>
                <w:rFonts w:hint="eastAsia"/>
                <w:color w:val="auto"/>
                <w:highlight w:val="none"/>
              </w:rPr>
              <w:t>必须以转帐或电汇形式开标前</w:t>
            </w:r>
            <w:r>
              <w:rPr>
                <w:rFonts w:hint="eastAsia"/>
                <w:color w:val="auto"/>
                <w:highlight w:val="none"/>
                <w:lang w:val="en-US" w:eastAsia="zh-CN"/>
              </w:rPr>
              <w:t>一天</w:t>
            </w:r>
            <w:r>
              <w:rPr>
                <w:rFonts w:hint="eastAsia"/>
                <w:color w:val="auto"/>
                <w:highlight w:val="none"/>
              </w:rPr>
              <w:t>将款项转至到达招标人指定的帐户）支付方式交纳，不接受现金形式。否则为无效投标。</w:t>
            </w:r>
          </w:p>
          <w:p w14:paraId="5759C2DD">
            <w:pPr>
              <w:pStyle w:val="12"/>
              <w:spacing w:line="330" w:lineRule="exact"/>
              <w:ind w:firstLine="480" w:firstLineChars="200"/>
              <w:jc w:val="both"/>
              <w:rPr>
                <w:rFonts w:ascii="宋体" w:hAnsi="宋体" w:cs="宋体"/>
                <w:b/>
                <w:bCs/>
                <w:color w:val="auto"/>
                <w:highlight w:val="none"/>
              </w:rPr>
            </w:pPr>
            <w:r>
              <w:rPr>
                <w:rFonts w:hint="eastAsia"/>
                <w:color w:val="auto"/>
                <w:highlight w:val="none"/>
              </w:rPr>
              <w:t>交纳保证金时必须注明用途、采购编号，以便查对核实，交纳</w:t>
            </w:r>
            <w:r>
              <w:rPr>
                <w:rFonts w:hint="eastAsia"/>
                <w:color w:val="auto"/>
                <w:highlight w:val="none"/>
                <w:lang w:eastAsia="zh-CN"/>
              </w:rPr>
              <w:t>谈判保证金</w:t>
            </w:r>
            <w:r>
              <w:rPr>
                <w:rFonts w:hint="eastAsia"/>
                <w:color w:val="auto"/>
                <w:highlight w:val="none"/>
              </w:rPr>
              <w:t>单位名称必须与参加投标的</w:t>
            </w:r>
            <w:r>
              <w:rPr>
                <w:rFonts w:hint="eastAsia"/>
                <w:color w:val="auto"/>
                <w:highlight w:val="none"/>
                <w:lang w:eastAsia="zh-CN"/>
              </w:rPr>
              <w:t>谈判供应商</w:t>
            </w:r>
            <w:r>
              <w:rPr>
                <w:rFonts w:hint="eastAsia"/>
                <w:color w:val="auto"/>
                <w:highlight w:val="none"/>
              </w:rPr>
              <w:t>名称一致。未按以上规定提交</w:t>
            </w:r>
            <w:r>
              <w:rPr>
                <w:rFonts w:hint="eastAsia"/>
                <w:color w:val="auto"/>
                <w:highlight w:val="none"/>
                <w:lang w:eastAsia="zh-CN"/>
              </w:rPr>
              <w:t>谈判保证金</w:t>
            </w:r>
            <w:r>
              <w:rPr>
                <w:rFonts w:hint="eastAsia"/>
                <w:color w:val="auto"/>
                <w:highlight w:val="none"/>
              </w:rPr>
              <w:t>的投标，将被视为投标无效。</w:t>
            </w:r>
          </w:p>
        </w:tc>
      </w:tr>
    </w:tbl>
    <w:p w14:paraId="61EB49D2">
      <w:pPr>
        <w:widowControl/>
        <w:spacing w:before="75" w:after="75"/>
        <w:rPr>
          <w:rFonts w:ascii="宋体" w:hAnsi="宋体" w:cs="宋体"/>
          <w:b/>
          <w:bCs/>
          <w:color w:val="auto"/>
          <w:kern w:val="0"/>
          <w:sz w:val="44"/>
        </w:rPr>
      </w:pPr>
    </w:p>
    <w:p w14:paraId="0A366ED0">
      <w:pPr>
        <w:widowControl/>
        <w:spacing w:before="75" w:after="75"/>
        <w:ind w:firstLine="1767" w:firstLineChars="400"/>
        <w:rPr>
          <w:rFonts w:ascii="宋体" w:hAnsi="宋体" w:cs="宋体"/>
          <w:b/>
          <w:bCs/>
          <w:color w:val="auto"/>
          <w:kern w:val="0"/>
          <w:sz w:val="44"/>
        </w:rPr>
      </w:pPr>
    </w:p>
    <w:p w14:paraId="0AB01743">
      <w:pPr>
        <w:widowControl/>
        <w:spacing w:before="75" w:after="75"/>
        <w:rPr>
          <w:rFonts w:ascii="宋体" w:hAnsi="宋体" w:cs="宋体"/>
          <w:b/>
          <w:bCs/>
          <w:color w:val="auto"/>
          <w:kern w:val="0"/>
          <w:sz w:val="44"/>
        </w:rPr>
      </w:pPr>
    </w:p>
    <w:p w14:paraId="4430998E">
      <w:pPr>
        <w:widowControl/>
        <w:spacing w:before="75" w:after="75"/>
        <w:ind w:firstLine="1767" w:firstLineChars="400"/>
        <w:rPr>
          <w:rFonts w:ascii="宋体" w:hAnsi="宋体" w:cs="宋体"/>
          <w:b/>
          <w:bCs/>
          <w:color w:val="auto"/>
          <w:kern w:val="0"/>
          <w:sz w:val="44"/>
        </w:rPr>
      </w:pPr>
    </w:p>
    <w:p w14:paraId="1E41795F">
      <w:pPr>
        <w:widowControl/>
        <w:spacing w:before="75" w:after="75"/>
        <w:ind w:firstLine="1767" w:firstLineChars="400"/>
        <w:rPr>
          <w:rFonts w:ascii="宋体" w:hAnsi="宋体" w:cs="宋体"/>
          <w:b/>
          <w:bCs/>
          <w:color w:val="auto"/>
          <w:kern w:val="0"/>
          <w:sz w:val="44"/>
        </w:rPr>
      </w:pPr>
    </w:p>
    <w:p w14:paraId="168A73B8">
      <w:pPr>
        <w:widowControl/>
        <w:spacing w:before="75" w:after="75"/>
        <w:ind w:firstLine="1767" w:firstLineChars="400"/>
        <w:rPr>
          <w:rFonts w:ascii="宋体" w:hAnsi="宋体" w:cs="宋体"/>
          <w:b/>
          <w:bCs/>
          <w:color w:val="auto"/>
          <w:kern w:val="0"/>
          <w:sz w:val="44"/>
        </w:rPr>
      </w:pPr>
    </w:p>
    <w:p w14:paraId="094135D1">
      <w:pPr>
        <w:widowControl/>
        <w:spacing w:before="75" w:after="75"/>
        <w:ind w:firstLine="1767" w:firstLineChars="400"/>
        <w:rPr>
          <w:rFonts w:ascii="宋体" w:hAnsi="宋体" w:cs="宋体"/>
          <w:b/>
          <w:bCs/>
          <w:color w:val="auto"/>
          <w:kern w:val="0"/>
          <w:sz w:val="44"/>
        </w:rPr>
      </w:pPr>
    </w:p>
    <w:p w14:paraId="779EC63C">
      <w:pPr>
        <w:widowControl/>
        <w:spacing w:before="75" w:after="75"/>
        <w:ind w:firstLine="1767" w:firstLineChars="400"/>
        <w:rPr>
          <w:rFonts w:ascii="宋体" w:hAnsi="宋体" w:cs="宋体"/>
          <w:b/>
          <w:bCs/>
          <w:color w:val="auto"/>
          <w:kern w:val="0"/>
          <w:sz w:val="44"/>
        </w:rPr>
      </w:pPr>
    </w:p>
    <w:p w14:paraId="3ED6368E">
      <w:pPr>
        <w:widowControl/>
        <w:spacing w:before="75" w:after="75"/>
        <w:ind w:firstLine="1767" w:firstLineChars="400"/>
        <w:rPr>
          <w:rFonts w:ascii="宋体" w:hAnsi="宋体" w:cs="宋体"/>
          <w:b/>
          <w:bCs/>
          <w:color w:val="auto"/>
          <w:kern w:val="0"/>
          <w:sz w:val="44"/>
        </w:rPr>
      </w:pPr>
    </w:p>
    <w:p w14:paraId="4A42BEAE">
      <w:pPr>
        <w:widowControl/>
        <w:spacing w:before="75" w:after="75"/>
        <w:rPr>
          <w:rFonts w:ascii="宋体" w:hAnsi="宋体" w:cs="宋体"/>
          <w:b/>
          <w:bCs/>
          <w:color w:val="auto"/>
          <w:kern w:val="0"/>
          <w:sz w:val="44"/>
        </w:rPr>
      </w:pPr>
    </w:p>
    <w:p w14:paraId="3BFD76D7">
      <w:pPr>
        <w:widowControl/>
        <w:spacing w:before="75" w:after="75"/>
        <w:rPr>
          <w:rFonts w:ascii="宋体" w:hAnsi="宋体" w:cs="宋体"/>
          <w:b/>
          <w:bCs/>
          <w:color w:val="auto"/>
          <w:kern w:val="0"/>
          <w:sz w:val="44"/>
        </w:rPr>
      </w:pPr>
    </w:p>
    <w:p w14:paraId="5A4D0773">
      <w:pPr>
        <w:widowControl/>
        <w:spacing w:before="75" w:after="75"/>
        <w:ind w:firstLine="1767" w:firstLineChars="400"/>
        <w:rPr>
          <w:rFonts w:ascii="宋体" w:hAnsi="宋体" w:cs="宋体"/>
          <w:color w:val="auto"/>
          <w:kern w:val="0"/>
          <w:sz w:val="24"/>
        </w:rPr>
      </w:pPr>
      <w:r>
        <w:rPr>
          <w:rFonts w:ascii="宋体" w:hAnsi="宋体" w:cs="宋体"/>
          <w:b/>
          <w:bCs/>
          <w:color w:val="auto"/>
          <w:kern w:val="0"/>
          <w:sz w:val="44"/>
        </w:rPr>
        <w:t>第二章  竞争性谈判须知</w:t>
      </w:r>
    </w:p>
    <w:p w14:paraId="6C8C43F6">
      <w:pPr>
        <w:widowControl/>
        <w:jc w:val="left"/>
        <w:rPr>
          <w:rFonts w:ascii="宋体" w:hAnsi="宋体" w:cs="宋体"/>
          <w:color w:val="auto"/>
          <w:kern w:val="0"/>
          <w:sz w:val="24"/>
        </w:rPr>
      </w:pPr>
      <w:r>
        <w:rPr>
          <w:rFonts w:ascii="宋体" w:hAnsi="宋体" w:cs="宋体"/>
          <w:b/>
          <w:bCs/>
          <w:color w:val="auto"/>
          <w:kern w:val="0"/>
          <w:sz w:val="24"/>
        </w:rPr>
        <w:t>            </w:t>
      </w:r>
    </w:p>
    <w:p w14:paraId="5A264906">
      <w:pPr>
        <w:widowControl/>
        <w:spacing w:before="75" w:after="75" w:line="435" w:lineRule="atLeast"/>
        <w:jc w:val="left"/>
        <w:rPr>
          <w:rFonts w:ascii="宋体" w:hAnsi="宋体" w:cs="宋体"/>
          <w:color w:val="auto"/>
          <w:kern w:val="0"/>
          <w:sz w:val="24"/>
        </w:rPr>
      </w:pPr>
      <w:r>
        <w:rPr>
          <w:rFonts w:ascii="宋体" w:hAnsi="宋体" w:cs="宋体"/>
          <w:b/>
          <w:bCs/>
          <w:color w:val="auto"/>
          <w:kern w:val="0"/>
          <w:sz w:val="24"/>
        </w:rPr>
        <w:t>       </w:t>
      </w:r>
      <w:r>
        <w:rPr>
          <w:rFonts w:ascii="宋体" w:hAnsi="宋体" w:cs="宋体"/>
          <w:b/>
          <w:bCs/>
          <w:color w:val="auto"/>
          <w:kern w:val="0"/>
          <w:sz w:val="32"/>
        </w:rPr>
        <w:t>第1节  竞争性谈判须知前附表</w:t>
      </w:r>
    </w:p>
    <w:p w14:paraId="444E3F27">
      <w:pPr>
        <w:widowControl/>
        <w:spacing w:before="75" w:after="240" w:line="435" w:lineRule="atLeast"/>
        <w:ind w:firstLine="480"/>
        <w:jc w:val="left"/>
        <w:rPr>
          <w:rFonts w:ascii="宋体" w:hAnsi="宋体" w:cs="宋体"/>
          <w:color w:val="auto"/>
          <w:kern w:val="0"/>
          <w:sz w:val="24"/>
        </w:rPr>
      </w:pPr>
      <w:r>
        <w:rPr>
          <w:rFonts w:ascii="宋体" w:hAnsi="宋体" w:cs="宋体"/>
          <w:color w:val="auto"/>
          <w:kern w:val="0"/>
          <w:sz w:val="24"/>
        </w:rPr>
        <w:t>竞争性谈判须知前附表是对竞争性谈判须知的补充和细化，二者如有矛盾，以前附表中的要求和规定为准</w:t>
      </w:r>
    </w:p>
    <w:p w14:paraId="28A95DEF">
      <w:pPr>
        <w:widowControl/>
        <w:spacing w:before="75" w:after="240" w:line="435" w:lineRule="atLeast"/>
        <w:ind w:firstLine="480"/>
        <w:jc w:val="left"/>
        <w:rPr>
          <w:rFonts w:ascii="宋体" w:hAnsi="宋体" w:cs="宋体"/>
          <w:color w:val="auto"/>
          <w:kern w:val="0"/>
          <w:sz w:val="24"/>
        </w:rPr>
      </w:pPr>
      <w:r>
        <w:rPr>
          <w:rFonts w:hint="eastAsia" w:ascii="宋体" w:hAnsi="宋体" w:cs="宋体"/>
          <w:color w:val="auto"/>
          <w:kern w:val="0"/>
          <w:sz w:val="24"/>
        </w:rPr>
        <w:t>表1：</w:t>
      </w:r>
    </w:p>
    <w:tbl>
      <w:tblPr>
        <w:tblStyle w:val="14"/>
        <w:tblW w:w="4999" w:type="pct"/>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15" w:type="dxa"/>
          <w:left w:w="15" w:type="dxa"/>
          <w:bottom w:w="15" w:type="dxa"/>
          <w:right w:w="15" w:type="dxa"/>
        </w:tblCellMar>
      </w:tblPr>
      <w:tblGrid>
        <w:gridCol w:w="526"/>
        <w:gridCol w:w="872"/>
        <w:gridCol w:w="7405"/>
      </w:tblGrid>
      <w:tr w14:paraId="3A49BC8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5" w:hRule="atLeast"/>
          <w:tblCellSpacing w:w="15" w:type="dxa"/>
        </w:trPr>
        <w:tc>
          <w:tcPr>
            <w:tcW w:w="273" w:type="pct"/>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top"/>
          </w:tcPr>
          <w:p w14:paraId="7BF89397">
            <w:pPr>
              <w:widowControl/>
              <w:spacing w:line="15" w:lineRule="atLeast"/>
              <w:jc w:val="left"/>
              <w:rPr>
                <w:rFonts w:ascii="宋体" w:hAnsi="宋体" w:cs="宋体"/>
                <w:color w:val="auto"/>
                <w:kern w:val="0"/>
                <w:sz w:val="24"/>
              </w:rPr>
            </w:pPr>
            <w:r>
              <w:rPr>
                <w:rFonts w:ascii="宋体" w:hAnsi="宋体" w:cs="宋体"/>
                <w:b/>
                <w:bCs/>
                <w:color w:val="auto"/>
                <w:kern w:val="0"/>
                <w:sz w:val="24"/>
              </w:rPr>
              <w:t>项号</w:t>
            </w:r>
          </w:p>
        </w:tc>
        <w:tc>
          <w:tcPr>
            <w:tcW w:w="478" w:type="pct"/>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top"/>
          </w:tcPr>
          <w:p w14:paraId="1536DD64">
            <w:pPr>
              <w:widowControl/>
              <w:spacing w:line="15" w:lineRule="atLeast"/>
              <w:jc w:val="left"/>
              <w:rPr>
                <w:rFonts w:ascii="宋体" w:hAnsi="宋体" w:cs="宋体"/>
                <w:color w:val="auto"/>
                <w:kern w:val="0"/>
                <w:sz w:val="24"/>
              </w:rPr>
            </w:pPr>
            <w:r>
              <w:rPr>
                <w:rFonts w:ascii="宋体" w:hAnsi="宋体" w:cs="宋体"/>
                <w:b/>
                <w:bCs/>
                <w:color w:val="auto"/>
                <w:kern w:val="0"/>
                <w:sz w:val="24"/>
              </w:rPr>
              <w:t>条款号</w:t>
            </w:r>
          </w:p>
        </w:tc>
        <w:tc>
          <w:tcPr>
            <w:tcW w:w="4179" w:type="pct"/>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top"/>
          </w:tcPr>
          <w:p w14:paraId="4D20A4BC">
            <w:pPr>
              <w:widowControl/>
              <w:spacing w:line="15" w:lineRule="atLeast"/>
              <w:jc w:val="center"/>
              <w:rPr>
                <w:rFonts w:ascii="宋体" w:hAnsi="宋体" w:cs="宋体"/>
                <w:color w:val="auto"/>
                <w:kern w:val="0"/>
                <w:sz w:val="24"/>
              </w:rPr>
            </w:pPr>
            <w:r>
              <w:rPr>
                <w:rFonts w:ascii="宋体" w:hAnsi="宋体" w:cs="宋体"/>
                <w:b/>
                <w:bCs/>
                <w:color w:val="auto"/>
                <w:kern w:val="0"/>
                <w:sz w:val="24"/>
              </w:rPr>
              <w:t>编列内容</w:t>
            </w:r>
          </w:p>
        </w:tc>
      </w:tr>
      <w:tr w14:paraId="12C08E9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75" w:hRule="atLeast"/>
          <w:tblCellSpacing w:w="15" w:type="dxa"/>
        </w:trPr>
        <w:tc>
          <w:tcPr>
            <w:tcW w:w="273" w:type="pct"/>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20D801DE">
            <w:pPr>
              <w:widowControl/>
              <w:spacing w:line="75" w:lineRule="atLeast"/>
              <w:jc w:val="center"/>
              <w:rPr>
                <w:rFonts w:ascii="宋体" w:hAnsi="宋体" w:cs="宋体"/>
                <w:color w:val="auto"/>
                <w:kern w:val="0"/>
                <w:sz w:val="24"/>
              </w:rPr>
            </w:pPr>
            <w:r>
              <w:rPr>
                <w:rFonts w:ascii="宋体" w:hAnsi="宋体" w:cs="宋体"/>
                <w:color w:val="auto"/>
                <w:kern w:val="0"/>
                <w:sz w:val="24"/>
              </w:rPr>
              <w:t>1</w:t>
            </w:r>
          </w:p>
        </w:tc>
        <w:tc>
          <w:tcPr>
            <w:tcW w:w="478" w:type="pct"/>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26A36D2C">
            <w:pPr>
              <w:widowControl/>
              <w:spacing w:line="75" w:lineRule="atLeast"/>
              <w:jc w:val="left"/>
              <w:rPr>
                <w:rFonts w:ascii="宋体" w:hAnsi="宋体" w:cs="宋体"/>
                <w:color w:val="auto"/>
                <w:kern w:val="0"/>
                <w:sz w:val="24"/>
              </w:rPr>
            </w:pPr>
            <w:r>
              <w:rPr>
                <w:rFonts w:ascii="宋体" w:hAnsi="宋体" w:cs="宋体"/>
                <w:color w:val="auto"/>
                <w:kern w:val="0"/>
                <w:sz w:val="24"/>
              </w:rPr>
              <w:t>3.2.1</w:t>
            </w:r>
          </w:p>
        </w:tc>
        <w:tc>
          <w:tcPr>
            <w:tcW w:w="4179" w:type="pct"/>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6778E3E9">
            <w:pPr>
              <w:widowControl/>
              <w:spacing w:line="435" w:lineRule="atLeast"/>
              <w:jc w:val="left"/>
              <w:rPr>
                <w:rFonts w:ascii="宋体" w:hAnsi="宋体" w:cs="宋体"/>
                <w:color w:val="auto"/>
                <w:kern w:val="0"/>
                <w:sz w:val="24"/>
              </w:rPr>
            </w:pPr>
            <w:r>
              <w:rPr>
                <w:rFonts w:ascii="宋体" w:hAnsi="宋体" w:cs="宋体"/>
                <w:b/>
                <w:bCs/>
                <w:color w:val="auto"/>
                <w:kern w:val="0"/>
                <w:sz w:val="24"/>
              </w:rPr>
              <w:t>供应商的资格要求</w:t>
            </w:r>
            <w:r>
              <w:rPr>
                <w:rFonts w:ascii="宋体" w:hAnsi="宋体" w:cs="宋体"/>
                <w:color w:val="auto"/>
                <w:kern w:val="0"/>
                <w:sz w:val="24"/>
              </w:rPr>
              <w:t>：见谈判文件第一章“采购公告/采购邀请书”</w:t>
            </w:r>
          </w:p>
          <w:p w14:paraId="6EC080C4">
            <w:pPr>
              <w:widowControl/>
              <w:spacing w:line="435" w:lineRule="atLeast"/>
              <w:jc w:val="left"/>
              <w:rPr>
                <w:rFonts w:ascii="宋体" w:hAnsi="宋体" w:cs="宋体"/>
                <w:color w:val="auto"/>
                <w:kern w:val="0"/>
                <w:sz w:val="24"/>
              </w:rPr>
            </w:pPr>
            <w:r>
              <w:rPr>
                <w:rFonts w:ascii="宋体" w:hAnsi="宋体" w:cs="宋体"/>
                <w:color w:val="auto"/>
                <w:kern w:val="0"/>
                <w:sz w:val="24"/>
              </w:rPr>
              <w:t>资格证明文件资料要求：</w:t>
            </w:r>
          </w:p>
          <w:p w14:paraId="3F0F6467">
            <w:pPr>
              <w:pStyle w:val="12"/>
              <w:widowControl/>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left"/>
              <w:rPr>
                <w:rFonts w:ascii="宋体" w:hAnsi="宋体" w:cs="宋体"/>
                <w:color w:val="auto"/>
                <w:kern w:val="0"/>
                <w:sz w:val="24"/>
              </w:rPr>
            </w:pPr>
            <w:r>
              <w:rPr>
                <w:rFonts w:hint="eastAsia" w:ascii="宋体" w:hAnsi="宋体" w:eastAsia="宋体" w:cs="宋体"/>
                <w:i w:val="0"/>
                <w:iCs w:val="0"/>
                <w:caps w:val="0"/>
                <w:color w:val="auto"/>
                <w:spacing w:val="0"/>
                <w:sz w:val="24"/>
                <w:szCs w:val="24"/>
              </w:rPr>
              <w:t>采购包1：</w:t>
            </w:r>
          </w:p>
          <w:tbl>
            <w:tblPr>
              <w:tblStyle w:val="14"/>
              <w:tblW w:w="7085"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89"/>
              <w:gridCol w:w="2819"/>
              <w:gridCol w:w="3577"/>
            </w:tblGrid>
            <w:tr w14:paraId="16A4BC0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89" w:type="dxa"/>
                  <w:vAlign w:val="center"/>
                </w:tcPr>
                <w:p w14:paraId="6E0BDC75">
                  <w:pPr>
                    <w:pStyle w:val="28"/>
                    <w:jc w:val="center"/>
                    <w:rPr>
                      <w:rFonts w:hint="eastAsia" w:ascii="宋体" w:hAnsi="宋体" w:eastAsia="宋体" w:cs="宋体"/>
                      <w:color w:val="auto"/>
                      <w:sz w:val="24"/>
                      <w:szCs w:val="24"/>
                    </w:rPr>
                  </w:pPr>
                  <w:r>
                    <w:rPr>
                      <w:rFonts w:hint="eastAsia" w:ascii="宋体" w:hAnsi="宋体" w:eastAsia="宋体" w:cs="宋体"/>
                      <w:color w:val="auto"/>
                      <w:sz w:val="24"/>
                      <w:szCs w:val="24"/>
                    </w:rPr>
                    <w:t>序号</w:t>
                  </w:r>
                </w:p>
              </w:tc>
              <w:tc>
                <w:tcPr>
                  <w:tcW w:w="2819" w:type="dxa"/>
                  <w:vAlign w:val="center"/>
                </w:tcPr>
                <w:p w14:paraId="42340050">
                  <w:pPr>
                    <w:pStyle w:val="28"/>
                    <w:jc w:val="center"/>
                    <w:rPr>
                      <w:rFonts w:hint="eastAsia" w:ascii="宋体" w:hAnsi="宋体" w:eastAsia="宋体" w:cs="宋体"/>
                      <w:color w:val="auto"/>
                      <w:sz w:val="24"/>
                      <w:szCs w:val="24"/>
                    </w:rPr>
                  </w:pPr>
                  <w:r>
                    <w:rPr>
                      <w:rFonts w:hint="eastAsia" w:ascii="宋体" w:hAnsi="宋体" w:eastAsia="宋体" w:cs="宋体"/>
                      <w:color w:val="auto"/>
                      <w:sz w:val="24"/>
                      <w:szCs w:val="24"/>
                    </w:rPr>
                    <w:t>资格审查要求概况</w:t>
                  </w:r>
                </w:p>
              </w:tc>
              <w:tc>
                <w:tcPr>
                  <w:tcW w:w="3577" w:type="dxa"/>
                  <w:vAlign w:val="center"/>
                </w:tcPr>
                <w:p w14:paraId="30B21BB3">
                  <w:pPr>
                    <w:pStyle w:val="28"/>
                    <w:jc w:val="center"/>
                    <w:rPr>
                      <w:rFonts w:hint="eastAsia" w:ascii="宋体" w:hAnsi="宋体" w:eastAsia="宋体" w:cs="宋体"/>
                      <w:color w:val="auto"/>
                      <w:sz w:val="24"/>
                      <w:szCs w:val="24"/>
                    </w:rPr>
                  </w:pPr>
                  <w:r>
                    <w:rPr>
                      <w:rFonts w:hint="eastAsia" w:ascii="宋体" w:hAnsi="宋体" w:eastAsia="宋体" w:cs="宋体"/>
                      <w:color w:val="auto"/>
                      <w:sz w:val="24"/>
                      <w:szCs w:val="24"/>
                    </w:rPr>
                    <w:t>评审点具体描述</w:t>
                  </w:r>
                </w:p>
              </w:tc>
            </w:tr>
            <w:tr w14:paraId="4A4D456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89" w:type="dxa"/>
                  <w:vAlign w:val="center"/>
                </w:tcPr>
                <w:p w14:paraId="443BCF9E">
                  <w:pPr>
                    <w:pStyle w:val="28"/>
                    <w:jc w:val="center"/>
                    <w:rPr>
                      <w:rFonts w:hint="eastAsia" w:ascii="宋体" w:hAnsi="宋体" w:eastAsia="宋体" w:cs="宋体"/>
                      <w:color w:val="auto"/>
                      <w:sz w:val="24"/>
                      <w:szCs w:val="24"/>
                    </w:rPr>
                  </w:pPr>
                  <w:r>
                    <w:rPr>
                      <w:rFonts w:hint="eastAsia" w:ascii="宋体" w:hAnsi="宋体" w:eastAsia="宋体" w:cs="宋体"/>
                      <w:color w:val="auto"/>
                      <w:sz w:val="24"/>
                      <w:szCs w:val="24"/>
                    </w:rPr>
                    <w:t>1</w:t>
                  </w:r>
                </w:p>
              </w:tc>
              <w:tc>
                <w:tcPr>
                  <w:tcW w:w="2819" w:type="dxa"/>
                  <w:vAlign w:val="center"/>
                </w:tcPr>
                <w:p w14:paraId="725F9FEE">
                  <w:pPr>
                    <w:pStyle w:val="28"/>
                    <w:jc w:val="center"/>
                    <w:rPr>
                      <w:rFonts w:hint="eastAsia" w:ascii="宋体" w:hAnsi="宋体" w:eastAsia="宋体" w:cs="宋体"/>
                      <w:color w:val="auto"/>
                      <w:sz w:val="24"/>
                      <w:szCs w:val="24"/>
                    </w:rPr>
                  </w:pPr>
                  <w:r>
                    <w:rPr>
                      <w:rFonts w:hint="eastAsia" w:ascii="宋体" w:hAnsi="宋体" w:eastAsia="宋体" w:cs="宋体"/>
                      <w:color w:val="auto"/>
                      <w:sz w:val="24"/>
                      <w:szCs w:val="24"/>
                    </w:rPr>
                    <w:t>谈判响应声明</w:t>
                  </w:r>
                </w:p>
              </w:tc>
              <w:tc>
                <w:tcPr>
                  <w:tcW w:w="3577" w:type="dxa"/>
                  <w:vAlign w:val="center"/>
                </w:tcPr>
                <w:p w14:paraId="55565A80">
                  <w:pPr>
                    <w:pStyle w:val="28"/>
                    <w:jc w:val="center"/>
                    <w:rPr>
                      <w:rFonts w:hint="eastAsia" w:ascii="宋体" w:hAnsi="宋体" w:eastAsia="宋体" w:cs="宋体"/>
                      <w:color w:val="auto"/>
                      <w:sz w:val="24"/>
                      <w:szCs w:val="24"/>
                    </w:rPr>
                  </w:pPr>
                  <w:r>
                    <w:rPr>
                      <w:rFonts w:hint="eastAsia" w:ascii="宋体" w:hAnsi="宋体" w:eastAsia="宋体" w:cs="宋体"/>
                      <w:color w:val="auto"/>
                      <w:sz w:val="24"/>
                      <w:szCs w:val="24"/>
                    </w:rPr>
                    <w:t>详见声明函</w:t>
                  </w:r>
                </w:p>
              </w:tc>
            </w:tr>
            <w:tr w14:paraId="5566767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89" w:type="dxa"/>
                  <w:vAlign w:val="center"/>
                </w:tcPr>
                <w:p w14:paraId="5179B69B">
                  <w:pPr>
                    <w:pStyle w:val="28"/>
                    <w:jc w:val="center"/>
                    <w:rPr>
                      <w:rFonts w:hint="eastAsia" w:ascii="宋体" w:hAnsi="宋体" w:eastAsia="宋体" w:cs="宋体"/>
                      <w:color w:val="auto"/>
                      <w:sz w:val="24"/>
                      <w:szCs w:val="24"/>
                    </w:rPr>
                  </w:pPr>
                  <w:r>
                    <w:rPr>
                      <w:rFonts w:hint="eastAsia" w:ascii="宋体" w:hAnsi="宋体" w:eastAsia="宋体" w:cs="宋体"/>
                      <w:color w:val="auto"/>
                      <w:sz w:val="24"/>
                      <w:szCs w:val="24"/>
                    </w:rPr>
                    <w:t>2</w:t>
                  </w:r>
                </w:p>
              </w:tc>
              <w:tc>
                <w:tcPr>
                  <w:tcW w:w="2819" w:type="dxa"/>
                  <w:vAlign w:val="center"/>
                </w:tcPr>
                <w:p w14:paraId="7F0C6B22">
                  <w:pPr>
                    <w:pStyle w:val="28"/>
                    <w:jc w:val="center"/>
                    <w:rPr>
                      <w:rFonts w:hint="eastAsia" w:ascii="宋体" w:hAnsi="宋体" w:eastAsia="宋体" w:cs="宋体"/>
                      <w:color w:val="auto"/>
                      <w:sz w:val="24"/>
                      <w:szCs w:val="24"/>
                    </w:rPr>
                  </w:pPr>
                  <w:r>
                    <w:rPr>
                      <w:rFonts w:hint="eastAsia" w:ascii="宋体" w:hAnsi="宋体" w:eastAsia="宋体" w:cs="宋体"/>
                      <w:color w:val="auto"/>
                      <w:sz w:val="24"/>
                      <w:szCs w:val="24"/>
                    </w:rPr>
                    <w:t>单位负责人授权书</w:t>
                  </w:r>
                </w:p>
              </w:tc>
              <w:tc>
                <w:tcPr>
                  <w:tcW w:w="3577" w:type="dxa"/>
                  <w:vAlign w:val="top"/>
                </w:tcPr>
                <w:p w14:paraId="16569BDD">
                  <w:pPr>
                    <w:pStyle w:val="28"/>
                    <w:jc w:val="left"/>
                    <w:rPr>
                      <w:rFonts w:hint="eastAsia" w:ascii="宋体" w:hAnsi="宋体" w:eastAsia="宋体" w:cs="宋体"/>
                      <w:color w:val="auto"/>
                      <w:sz w:val="24"/>
                      <w:szCs w:val="24"/>
                    </w:rPr>
                  </w:pPr>
                  <w:r>
                    <w:rPr>
                      <w:rFonts w:hint="eastAsia" w:ascii="宋体" w:hAnsi="宋体" w:eastAsia="宋体" w:cs="宋体"/>
                      <w:color w:val="auto"/>
                      <w:sz w:val="24"/>
                      <w:szCs w:val="24"/>
                    </w:rPr>
                    <w:t>①供应商（自然人除外）：若供应商代表为单位授权的委托代理人，应提供本授权书；若供应商代表为单位负责人，应在此项下提交其身份证正反面复印件，可不提供本授权书。②供应商为自然人的，可不填写本授权书。</w:t>
                  </w:r>
                </w:p>
              </w:tc>
            </w:tr>
            <w:tr w14:paraId="6C59A4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89" w:type="dxa"/>
                  <w:vAlign w:val="center"/>
                </w:tcPr>
                <w:p w14:paraId="73621E9C">
                  <w:pPr>
                    <w:pStyle w:val="28"/>
                    <w:jc w:val="center"/>
                    <w:rPr>
                      <w:rFonts w:hint="eastAsia" w:ascii="宋体" w:hAnsi="宋体" w:eastAsia="宋体" w:cs="宋体"/>
                      <w:color w:val="auto"/>
                      <w:sz w:val="24"/>
                      <w:szCs w:val="24"/>
                    </w:rPr>
                  </w:pPr>
                  <w:r>
                    <w:rPr>
                      <w:rFonts w:hint="eastAsia" w:ascii="宋体" w:hAnsi="宋体" w:eastAsia="宋体" w:cs="宋体"/>
                      <w:color w:val="auto"/>
                      <w:sz w:val="24"/>
                      <w:szCs w:val="24"/>
                    </w:rPr>
                    <w:t>3</w:t>
                  </w:r>
                </w:p>
              </w:tc>
              <w:tc>
                <w:tcPr>
                  <w:tcW w:w="2819" w:type="dxa"/>
                  <w:vAlign w:val="center"/>
                </w:tcPr>
                <w:p w14:paraId="0E234DDA">
                  <w:pPr>
                    <w:pStyle w:val="28"/>
                    <w:jc w:val="center"/>
                    <w:rPr>
                      <w:rFonts w:hint="eastAsia" w:ascii="宋体" w:hAnsi="宋体" w:eastAsia="宋体" w:cs="宋体"/>
                      <w:color w:val="auto"/>
                      <w:sz w:val="24"/>
                      <w:szCs w:val="24"/>
                    </w:rPr>
                  </w:pPr>
                  <w:r>
                    <w:rPr>
                      <w:rFonts w:hint="eastAsia" w:ascii="宋体" w:hAnsi="宋体" w:eastAsia="宋体" w:cs="宋体"/>
                      <w:color w:val="auto"/>
                      <w:sz w:val="24"/>
                      <w:szCs w:val="24"/>
                    </w:rPr>
                    <w:t>营业执照等证明文件</w:t>
                  </w:r>
                </w:p>
              </w:tc>
              <w:tc>
                <w:tcPr>
                  <w:tcW w:w="3577" w:type="dxa"/>
                  <w:vAlign w:val="top"/>
                </w:tcPr>
                <w:p w14:paraId="2A47E0A1">
                  <w:pPr>
                    <w:pStyle w:val="28"/>
                    <w:jc w:val="left"/>
                    <w:rPr>
                      <w:rFonts w:hint="eastAsia" w:ascii="宋体" w:hAnsi="宋体" w:eastAsia="宋体" w:cs="宋体"/>
                      <w:color w:val="auto"/>
                      <w:sz w:val="24"/>
                      <w:szCs w:val="24"/>
                    </w:rPr>
                  </w:pPr>
                  <w:r>
                    <w:rPr>
                      <w:rFonts w:hint="eastAsia" w:ascii="宋体" w:hAnsi="宋体" w:eastAsia="宋体" w:cs="宋体"/>
                      <w:color w:val="auto"/>
                      <w:sz w:val="24"/>
                      <w:szCs w:val="24"/>
                    </w:rPr>
                    <w:t>①供应商为企业的，提供有效的营业执照复印件；供应商为事业单位的，提供有效的事业单位法人证书复印件；供应商为社会团体的，提供有效的社会团体法人登记证书复印件；供应商为合伙企业、个体工商户的，提供有效的营业执照复印件；供应商为非企业专业服务机构的，提供有效的执业许可证等证明材料复印件；供应商为自然人的，提供有效的自然人身份证件复印件；其他供应商应按照有关法律、法规和规章规定，提供有效的相应具体证照复印件。</w:t>
                  </w:r>
                </w:p>
              </w:tc>
            </w:tr>
            <w:tr w14:paraId="42A2D7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89" w:type="dxa"/>
                  <w:vAlign w:val="center"/>
                </w:tcPr>
                <w:p w14:paraId="30AD979F">
                  <w:pPr>
                    <w:pStyle w:val="28"/>
                    <w:jc w:val="center"/>
                    <w:rPr>
                      <w:rFonts w:hint="eastAsia" w:ascii="宋体" w:hAnsi="宋体" w:eastAsia="宋体" w:cs="宋体"/>
                      <w:color w:val="auto"/>
                      <w:sz w:val="24"/>
                      <w:szCs w:val="24"/>
                      <w:lang w:eastAsia="zh-CN"/>
                    </w:rPr>
                  </w:pPr>
                  <w:r>
                    <w:rPr>
                      <w:rFonts w:hint="eastAsia" w:ascii="宋体" w:hAnsi="宋体" w:cs="宋体"/>
                      <w:color w:val="auto"/>
                      <w:sz w:val="24"/>
                      <w:szCs w:val="24"/>
                      <w:lang w:val="en-US" w:eastAsia="zh-CN"/>
                    </w:rPr>
                    <w:t>4</w:t>
                  </w:r>
                </w:p>
              </w:tc>
              <w:tc>
                <w:tcPr>
                  <w:tcW w:w="2819" w:type="dxa"/>
                  <w:vAlign w:val="center"/>
                </w:tcPr>
                <w:p w14:paraId="5F033D10">
                  <w:pPr>
                    <w:pStyle w:val="28"/>
                    <w:jc w:val="center"/>
                    <w:rPr>
                      <w:rFonts w:hint="eastAsia" w:ascii="宋体" w:hAnsi="宋体" w:eastAsia="宋体" w:cs="宋体"/>
                      <w:color w:val="auto"/>
                      <w:sz w:val="24"/>
                      <w:szCs w:val="24"/>
                    </w:rPr>
                  </w:pPr>
                  <w:r>
                    <w:rPr>
                      <w:rFonts w:hint="eastAsia" w:ascii="宋体" w:hAnsi="宋体" w:eastAsia="宋体" w:cs="宋体"/>
                      <w:color w:val="auto"/>
                      <w:sz w:val="24"/>
                      <w:szCs w:val="24"/>
                    </w:rPr>
                    <w:t>具备履行合同所必需设备和专业技术能力的声明函(若有)</w:t>
                  </w:r>
                </w:p>
              </w:tc>
              <w:tc>
                <w:tcPr>
                  <w:tcW w:w="3577" w:type="dxa"/>
                  <w:vAlign w:val="top"/>
                </w:tcPr>
                <w:p w14:paraId="488D97C0">
                  <w:pPr>
                    <w:pStyle w:val="28"/>
                    <w:jc w:val="left"/>
                    <w:rPr>
                      <w:rFonts w:hint="eastAsia" w:ascii="宋体" w:hAnsi="宋体" w:eastAsia="宋体" w:cs="宋体"/>
                      <w:color w:val="auto"/>
                      <w:sz w:val="24"/>
                      <w:szCs w:val="24"/>
                    </w:rPr>
                  </w:pPr>
                  <w:r>
                    <w:rPr>
                      <w:rFonts w:hint="eastAsia" w:ascii="宋体" w:hAnsi="宋体" w:eastAsia="宋体" w:cs="宋体"/>
                      <w:color w:val="auto"/>
                      <w:sz w:val="24"/>
                      <w:szCs w:val="24"/>
                    </w:rPr>
                    <w:t>①采购文件未要求供应商提供“具备履行合同所必需的设备和专业技术能力专项证明材料”的，供应商应提供本声明函。②采购文件要求供应商提供“具备履行合同所必需的设备和专业技术能力专项证明材料”的，供应商可不提供本声明函。</w:t>
                  </w:r>
                </w:p>
              </w:tc>
            </w:tr>
            <w:tr w14:paraId="03AB7A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89" w:type="dxa"/>
                  <w:vAlign w:val="center"/>
                </w:tcPr>
                <w:p w14:paraId="0C2303CE">
                  <w:pPr>
                    <w:pStyle w:val="28"/>
                    <w:jc w:val="center"/>
                    <w:rPr>
                      <w:rFonts w:hint="eastAsia" w:ascii="宋体" w:hAnsi="宋体" w:eastAsia="宋体" w:cs="宋体"/>
                      <w:color w:val="auto"/>
                      <w:sz w:val="24"/>
                      <w:szCs w:val="24"/>
                      <w:lang w:eastAsia="zh-CN"/>
                    </w:rPr>
                  </w:pPr>
                  <w:r>
                    <w:rPr>
                      <w:rFonts w:hint="eastAsia" w:ascii="宋体" w:hAnsi="宋体" w:cs="宋体"/>
                      <w:color w:val="auto"/>
                      <w:sz w:val="24"/>
                      <w:szCs w:val="24"/>
                      <w:lang w:val="en-US" w:eastAsia="zh-CN"/>
                    </w:rPr>
                    <w:t>5</w:t>
                  </w:r>
                </w:p>
              </w:tc>
              <w:tc>
                <w:tcPr>
                  <w:tcW w:w="2819" w:type="dxa"/>
                  <w:vAlign w:val="center"/>
                </w:tcPr>
                <w:p w14:paraId="41594D6C">
                  <w:pPr>
                    <w:pStyle w:val="28"/>
                    <w:jc w:val="center"/>
                    <w:rPr>
                      <w:rFonts w:hint="eastAsia" w:ascii="宋体" w:hAnsi="宋体" w:eastAsia="宋体" w:cs="宋体"/>
                      <w:color w:val="auto"/>
                      <w:sz w:val="24"/>
                      <w:szCs w:val="24"/>
                    </w:rPr>
                  </w:pPr>
                  <w:r>
                    <w:rPr>
                      <w:rFonts w:hint="eastAsia" w:ascii="宋体" w:hAnsi="宋体" w:eastAsia="宋体" w:cs="宋体"/>
                      <w:color w:val="auto"/>
                      <w:sz w:val="24"/>
                      <w:szCs w:val="24"/>
                    </w:rPr>
                    <w:t>参加采购活动前三年内在经营活动中没有重大违法记录的声明</w:t>
                  </w:r>
                </w:p>
              </w:tc>
              <w:tc>
                <w:tcPr>
                  <w:tcW w:w="3577" w:type="dxa"/>
                  <w:vAlign w:val="top"/>
                </w:tcPr>
                <w:p w14:paraId="3F010F64">
                  <w:pPr>
                    <w:pStyle w:val="28"/>
                    <w:jc w:val="left"/>
                    <w:rPr>
                      <w:rFonts w:hint="eastAsia" w:ascii="宋体" w:hAnsi="宋体" w:eastAsia="宋体" w:cs="宋体"/>
                      <w:color w:val="auto"/>
                      <w:sz w:val="24"/>
                      <w:szCs w:val="24"/>
                    </w:rPr>
                  </w:pPr>
                  <w:r>
                    <w:rPr>
                      <w:rFonts w:hint="eastAsia" w:ascii="宋体" w:hAnsi="宋体" w:eastAsia="宋体" w:cs="宋体"/>
                      <w:color w:val="auto"/>
                      <w:sz w:val="24"/>
                      <w:szCs w:val="24"/>
                    </w:rPr>
                    <w:t>①重大违法记录：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tc>
            </w:tr>
            <w:tr w14:paraId="4EF4874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89" w:type="dxa"/>
                  <w:vAlign w:val="center"/>
                </w:tcPr>
                <w:p w14:paraId="2A35B891">
                  <w:pPr>
                    <w:pStyle w:val="28"/>
                    <w:jc w:val="center"/>
                    <w:rPr>
                      <w:rFonts w:hint="eastAsia" w:ascii="宋体" w:hAnsi="宋体" w:eastAsia="宋体" w:cs="宋体"/>
                      <w:color w:val="auto"/>
                      <w:sz w:val="24"/>
                      <w:szCs w:val="24"/>
                      <w:lang w:eastAsia="zh-CN"/>
                    </w:rPr>
                  </w:pPr>
                  <w:r>
                    <w:rPr>
                      <w:rFonts w:hint="eastAsia" w:ascii="宋体" w:hAnsi="宋体" w:cs="宋体"/>
                      <w:color w:val="auto"/>
                      <w:sz w:val="24"/>
                      <w:szCs w:val="24"/>
                      <w:lang w:val="en-US" w:eastAsia="zh-CN"/>
                    </w:rPr>
                    <w:t>6</w:t>
                  </w:r>
                </w:p>
              </w:tc>
              <w:tc>
                <w:tcPr>
                  <w:tcW w:w="2819" w:type="dxa"/>
                  <w:vAlign w:val="center"/>
                </w:tcPr>
                <w:p w14:paraId="7C74B4EF">
                  <w:pPr>
                    <w:pStyle w:val="28"/>
                    <w:jc w:val="center"/>
                    <w:rPr>
                      <w:rFonts w:hint="eastAsia" w:ascii="宋体" w:hAnsi="宋体" w:eastAsia="宋体" w:cs="宋体"/>
                      <w:color w:val="auto"/>
                      <w:sz w:val="24"/>
                      <w:szCs w:val="24"/>
                    </w:rPr>
                  </w:pPr>
                  <w:r>
                    <w:rPr>
                      <w:rFonts w:hint="eastAsia" w:ascii="宋体" w:hAnsi="宋体" w:eastAsia="宋体" w:cs="宋体"/>
                      <w:color w:val="auto"/>
                      <w:sz w:val="24"/>
                      <w:szCs w:val="24"/>
                    </w:rPr>
                    <w:t>信用记录查询结果</w:t>
                  </w:r>
                </w:p>
              </w:tc>
              <w:tc>
                <w:tcPr>
                  <w:tcW w:w="3577" w:type="dxa"/>
                  <w:vAlign w:val="top"/>
                </w:tcPr>
                <w:p w14:paraId="5CFB06DB">
                  <w:pPr>
                    <w:rPr>
                      <w:rFonts w:hint="eastAsia" w:ascii="宋体" w:hAnsi="宋体" w:eastAsia="宋体" w:cs="宋体"/>
                      <w:color w:val="auto"/>
                      <w:sz w:val="24"/>
                      <w:szCs w:val="24"/>
                    </w:rPr>
                  </w:pPr>
                  <w:r>
                    <w:rPr>
                      <w:rFonts w:hint="eastAsia" w:ascii="宋体" w:hAnsi="宋体" w:cs="宋体"/>
                      <w:color w:val="auto"/>
                      <w:kern w:val="0"/>
                      <w:sz w:val="24"/>
                      <w:lang w:eastAsia="zh-CN"/>
                    </w:rPr>
                    <w:t>供应商</w:t>
                  </w:r>
                  <w:r>
                    <w:rPr>
                      <w:rFonts w:hint="eastAsia" w:ascii="宋体" w:hAnsi="宋体" w:cs="宋体"/>
                      <w:color w:val="auto"/>
                      <w:kern w:val="0"/>
                      <w:sz w:val="24"/>
                    </w:rPr>
                    <w:t>应在谈判文件要求的截止时点前分别通过“信用中国”网站（www.creditchina.gov.cn）、中国政府采购网（www.ccgp.gov.cn）查询并打印相应的信用记录，</w:t>
                  </w:r>
                  <w:r>
                    <w:rPr>
                      <w:rFonts w:hint="eastAsia" w:ascii="宋体" w:hAnsi="宋体" w:cs="宋体"/>
                      <w:color w:val="auto"/>
                      <w:kern w:val="0"/>
                      <w:sz w:val="24"/>
                      <w:lang w:eastAsia="zh-CN"/>
                    </w:rPr>
                    <w:t>供应商</w:t>
                  </w:r>
                  <w:r>
                    <w:rPr>
                      <w:rFonts w:hint="eastAsia" w:ascii="宋体" w:hAnsi="宋体" w:cs="宋体"/>
                      <w:color w:val="auto"/>
                      <w:kern w:val="0"/>
                      <w:sz w:val="24"/>
                    </w:rPr>
                    <w:t>提供的查询结果应为其通过上述网站获取的信用信息查询结果原始页面的打印件（或截图）。</w:t>
                  </w:r>
                </w:p>
              </w:tc>
            </w:tr>
          </w:tbl>
          <w:p w14:paraId="1810DE37">
            <w:pPr>
              <w:pStyle w:val="12"/>
              <w:widowControl/>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left"/>
              <w:rPr>
                <w:rFonts w:hint="eastAsia" w:ascii="宋体" w:hAnsi="宋体" w:eastAsia="宋体" w:cs="宋体"/>
                <w:b/>
                <w:bCs/>
                <w:color w:val="auto"/>
                <w:sz w:val="24"/>
                <w:szCs w:val="24"/>
              </w:rPr>
            </w:pPr>
            <w:r>
              <w:rPr>
                <w:rFonts w:hint="eastAsia" w:ascii="宋体" w:hAnsi="宋体" w:eastAsia="宋体" w:cs="宋体"/>
                <w:b/>
                <w:bCs/>
                <w:i w:val="0"/>
                <w:iCs w:val="0"/>
                <w:caps w:val="0"/>
                <w:color w:val="auto"/>
                <w:spacing w:val="0"/>
                <w:sz w:val="24"/>
                <w:szCs w:val="24"/>
              </w:rPr>
              <w:t>特定资格条件：</w:t>
            </w:r>
          </w:p>
          <w:p w14:paraId="3A82B1E7">
            <w:pPr>
              <w:pStyle w:val="12"/>
              <w:widowControl/>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0"/>
              <w:jc w:val="left"/>
              <w:rPr>
                <w:rFonts w:hint="eastAsia" w:ascii="宋体" w:hAnsi="宋体" w:eastAsia="宋体" w:cs="宋体"/>
                <w:b/>
                <w:bCs/>
                <w:color w:val="auto"/>
                <w:sz w:val="24"/>
                <w:szCs w:val="24"/>
              </w:rPr>
            </w:pPr>
            <w:r>
              <w:rPr>
                <w:rFonts w:hint="eastAsia" w:ascii="宋体" w:hAnsi="宋体" w:eastAsia="宋体" w:cs="宋体"/>
                <w:b/>
                <w:bCs/>
                <w:i w:val="0"/>
                <w:iCs w:val="0"/>
                <w:caps w:val="0"/>
                <w:color w:val="auto"/>
                <w:spacing w:val="0"/>
                <w:sz w:val="24"/>
                <w:szCs w:val="24"/>
              </w:rPr>
              <w:t>采购包1：</w:t>
            </w:r>
          </w:p>
          <w:p w14:paraId="18F91036">
            <w:pPr>
              <w:widowControl/>
              <w:spacing w:line="435" w:lineRule="atLeast"/>
              <w:jc w:val="left"/>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无</w:t>
            </w:r>
          </w:p>
          <w:p w14:paraId="6AB4DF1E">
            <w:pPr>
              <w:widowControl/>
              <w:spacing w:line="435" w:lineRule="atLeast"/>
              <w:ind w:firstLine="240" w:firstLineChars="100"/>
              <w:jc w:val="left"/>
              <w:rPr>
                <w:rFonts w:ascii="宋体" w:hAnsi="宋体" w:cs="宋体"/>
                <w:color w:val="auto"/>
                <w:kern w:val="0"/>
                <w:sz w:val="24"/>
              </w:rPr>
            </w:pPr>
            <w:r>
              <w:rPr>
                <w:rFonts w:ascii="宋体" w:hAnsi="宋体" w:cs="宋体"/>
                <w:color w:val="auto"/>
                <w:kern w:val="0"/>
                <w:sz w:val="24"/>
              </w:rPr>
              <w:t>谈判文件第五章对法定资格条件证明资料已有详细规定和要求，供应商按照第五章要求提供。确因国家政府采购新政策规定或项目特点不能适用的或者需要补充增加的，则在特定资格条件中提出具体要求，但不得违反政府采购法律法规。</w:t>
            </w:r>
          </w:p>
        </w:tc>
      </w:tr>
      <w:tr w14:paraId="2FEAAA6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75" w:hRule="atLeast"/>
          <w:tblCellSpacing w:w="15" w:type="dxa"/>
        </w:trPr>
        <w:tc>
          <w:tcPr>
            <w:tcW w:w="273" w:type="pct"/>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05A7022E">
            <w:pPr>
              <w:widowControl/>
              <w:spacing w:line="75" w:lineRule="atLeast"/>
              <w:jc w:val="center"/>
              <w:rPr>
                <w:rFonts w:ascii="宋体" w:hAnsi="宋体" w:cs="宋体"/>
                <w:color w:val="auto"/>
                <w:kern w:val="0"/>
                <w:sz w:val="24"/>
              </w:rPr>
            </w:pPr>
            <w:r>
              <w:rPr>
                <w:rFonts w:ascii="宋体" w:hAnsi="宋体" w:cs="宋体"/>
                <w:color w:val="auto"/>
                <w:kern w:val="0"/>
                <w:sz w:val="24"/>
              </w:rPr>
              <w:t>2</w:t>
            </w:r>
          </w:p>
        </w:tc>
        <w:tc>
          <w:tcPr>
            <w:tcW w:w="478" w:type="pct"/>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14A8CDE7">
            <w:pPr>
              <w:widowControl/>
              <w:spacing w:line="75" w:lineRule="atLeast"/>
              <w:jc w:val="left"/>
              <w:rPr>
                <w:rFonts w:ascii="宋体" w:hAnsi="宋体" w:cs="宋体"/>
                <w:color w:val="auto"/>
                <w:kern w:val="0"/>
                <w:sz w:val="24"/>
              </w:rPr>
            </w:pPr>
            <w:r>
              <w:rPr>
                <w:rFonts w:ascii="宋体" w:hAnsi="宋体" w:cs="宋体"/>
                <w:color w:val="auto"/>
                <w:kern w:val="0"/>
                <w:sz w:val="24"/>
              </w:rPr>
              <w:t>3.2.2</w:t>
            </w:r>
          </w:p>
        </w:tc>
        <w:tc>
          <w:tcPr>
            <w:tcW w:w="4179" w:type="pct"/>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15CC9751">
            <w:pPr>
              <w:widowControl/>
              <w:spacing w:line="75" w:lineRule="atLeast"/>
              <w:jc w:val="left"/>
              <w:rPr>
                <w:rFonts w:ascii="宋体" w:hAnsi="宋体" w:cs="宋体"/>
                <w:color w:val="auto"/>
                <w:kern w:val="0"/>
                <w:sz w:val="24"/>
              </w:rPr>
            </w:pPr>
            <w:r>
              <w:rPr>
                <w:rFonts w:ascii="宋体" w:hAnsi="宋体" w:cs="宋体"/>
                <w:b/>
                <w:bCs/>
                <w:color w:val="auto"/>
                <w:kern w:val="0"/>
                <w:sz w:val="24"/>
              </w:rPr>
              <w:t>是否接受联合体形式的响应谈判：</w:t>
            </w:r>
            <w:r>
              <w:rPr>
                <w:rFonts w:hint="eastAsia" w:ascii="宋体" w:hAnsi="宋体" w:cs="宋体"/>
                <w:color w:val="auto"/>
                <w:kern w:val="0"/>
                <w:sz w:val="24"/>
              </w:rPr>
              <w:t>否</w:t>
            </w:r>
          </w:p>
        </w:tc>
      </w:tr>
      <w:tr w14:paraId="71D53E5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780" w:hRule="atLeast"/>
          <w:tblCellSpacing w:w="15" w:type="dxa"/>
        </w:trPr>
        <w:tc>
          <w:tcPr>
            <w:tcW w:w="273" w:type="pct"/>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437C90A3">
            <w:pPr>
              <w:widowControl/>
              <w:spacing w:line="435" w:lineRule="atLeast"/>
              <w:jc w:val="center"/>
              <w:rPr>
                <w:rFonts w:ascii="宋体" w:hAnsi="宋体" w:cs="宋体"/>
                <w:color w:val="auto"/>
                <w:kern w:val="0"/>
                <w:sz w:val="24"/>
              </w:rPr>
            </w:pPr>
            <w:r>
              <w:rPr>
                <w:rFonts w:ascii="宋体" w:hAnsi="宋体" w:cs="宋体"/>
                <w:color w:val="auto"/>
                <w:kern w:val="0"/>
                <w:sz w:val="24"/>
              </w:rPr>
              <w:t>3</w:t>
            </w:r>
          </w:p>
        </w:tc>
        <w:tc>
          <w:tcPr>
            <w:tcW w:w="478" w:type="pct"/>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19A7E0F5">
            <w:pPr>
              <w:widowControl/>
              <w:wordWrap w:val="0"/>
              <w:spacing w:line="435" w:lineRule="atLeast"/>
              <w:jc w:val="left"/>
              <w:rPr>
                <w:rFonts w:ascii="宋体" w:hAnsi="宋体" w:cs="宋体"/>
                <w:color w:val="auto"/>
                <w:kern w:val="0"/>
                <w:sz w:val="24"/>
              </w:rPr>
            </w:pPr>
            <w:r>
              <w:rPr>
                <w:rFonts w:ascii="宋体" w:hAnsi="宋体" w:cs="宋体"/>
                <w:color w:val="auto"/>
                <w:kern w:val="0"/>
                <w:sz w:val="24"/>
              </w:rPr>
              <w:t>9.1</w:t>
            </w:r>
          </w:p>
        </w:tc>
        <w:tc>
          <w:tcPr>
            <w:tcW w:w="4179" w:type="pct"/>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3AD7960E">
            <w:pPr>
              <w:widowControl/>
              <w:wordWrap w:val="0"/>
              <w:jc w:val="left"/>
              <w:rPr>
                <w:rFonts w:ascii="宋体" w:hAnsi="宋体" w:cs="宋体"/>
                <w:color w:val="auto"/>
                <w:kern w:val="0"/>
                <w:sz w:val="24"/>
              </w:rPr>
            </w:pPr>
            <w:r>
              <w:rPr>
                <w:rFonts w:ascii="宋体" w:hAnsi="宋体" w:cs="宋体"/>
                <w:b/>
                <w:bCs/>
                <w:color w:val="auto"/>
                <w:kern w:val="0"/>
                <w:sz w:val="24"/>
              </w:rPr>
              <w:t>响应文件有效期：</w:t>
            </w:r>
            <w:r>
              <w:rPr>
                <w:rFonts w:ascii="宋体" w:hAnsi="宋体" w:cs="宋体"/>
                <w:color w:val="auto"/>
                <w:kern w:val="0"/>
                <w:sz w:val="24"/>
              </w:rPr>
              <w:t>首次响应文件提交截止时间起90个日历日。</w:t>
            </w:r>
          </w:p>
        </w:tc>
      </w:tr>
      <w:tr w14:paraId="6FA226E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75" w:hRule="atLeast"/>
          <w:tblCellSpacing w:w="15" w:type="dxa"/>
        </w:trPr>
        <w:tc>
          <w:tcPr>
            <w:tcW w:w="273" w:type="pct"/>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7242AA05">
            <w:pPr>
              <w:widowControl/>
              <w:wordWrap w:val="0"/>
              <w:spacing w:line="75" w:lineRule="atLeast"/>
              <w:jc w:val="center"/>
              <w:rPr>
                <w:rFonts w:ascii="宋体" w:hAnsi="宋体" w:cs="宋体"/>
                <w:color w:val="auto"/>
                <w:kern w:val="0"/>
                <w:sz w:val="24"/>
              </w:rPr>
            </w:pPr>
            <w:r>
              <w:rPr>
                <w:rFonts w:ascii="宋体" w:hAnsi="宋体" w:cs="宋体"/>
                <w:color w:val="auto"/>
                <w:kern w:val="0"/>
                <w:sz w:val="24"/>
              </w:rPr>
              <w:t>4</w:t>
            </w:r>
          </w:p>
        </w:tc>
        <w:tc>
          <w:tcPr>
            <w:tcW w:w="478" w:type="pct"/>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02A9DABB">
            <w:pPr>
              <w:widowControl/>
              <w:wordWrap w:val="0"/>
              <w:spacing w:line="75" w:lineRule="atLeast"/>
              <w:jc w:val="left"/>
              <w:rPr>
                <w:rFonts w:ascii="宋体" w:hAnsi="宋体" w:cs="宋体"/>
                <w:color w:val="auto"/>
                <w:kern w:val="0"/>
                <w:sz w:val="24"/>
              </w:rPr>
            </w:pPr>
            <w:r>
              <w:rPr>
                <w:rFonts w:ascii="宋体" w:hAnsi="宋体" w:cs="宋体"/>
                <w:color w:val="auto"/>
                <w:kern w:val="0"/>
                <w:sz w:val="24"/>
              </w:rPr>
              <w:t>10.1</w:t>
            </w:r>
          </w:p>
        </w:tc>
        <w:tc>
          <w:tcPr>
            <w:tcW w:w="4179" w:type="pct"/>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top"/>
          </w:tcPr>
          <w:p w14:paraId="52A7134A">
            <w:pPr>
              <w:widowControl/>
              <w:spacing w:line="435" w:lineRule="atLeast"/>
              <w:jc w:val="left"/>
              <w:rPr>
                <w:rFonts w:ascii="宋体" w:hAnsi="宋体" w:cs="宋体"/>
                <w:color w:val="auto"/>
                <w:kern w:val="0"/>
                <w:sz w:val="24"/>
              </w:rPr>
            </w:pPr>
            <w:r>
              <w:rPr>
                <w:rFonts w:ascii="宋体" w:hAnsi="宋体" w:cs="宋体"/>
                <w:b/>
                <w:bCs/>
                <w:color w:val="auto"/>
                <w:kern w:val="0"/>
                <w:sz w:val="24"/>
              </w:rPr>
              <w:t>提交谈判保证金：</w:t>
            </w:r>
            <w:r>
              <w:rPr>
                <w:rFonts w:hint="eastAsia" w:ascii="宋体" w:hAnsi="宋体" w:cs="宋体"/>
                <w:b/>
                <w:bCs/>
                <w:color w:val="auto"/>
                <w:kern w:val="0"/>
                <w:sz w:val="24"/>
              </w:rPr>
              <w:t>详见第一章。</w:t>
            </w:r>
          </w:p>
        </w:tc>
      </w:tr>
      <w:tr w14:paraId="2010F184">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75" w:hRule="atLeast"/>
          <w:tblCellSpacing w:w="15" w:type="dxa"/>
        </w:trPr>
        <w:tc>
          <w:tcPr>
            <w:tcW w:w="273" w:type="pct"/>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241FC791">
            <w:pPr>
              <w:widowControl/>
              <w:spacing w:line="75" w:lineRule="atLeast"/>
              <w:jc w:val="center"/>
              <w:rPr>
                <w:rFonts w:ascii="宋体" w:hAnsi="宋体" w:cs="宋体"/>
                <w:color w:val="auto"/>
                <w:kern w:val="0"/>
                <w:sz w:val="24"/>
              </w:rPr>
            </w:pPr>
            <w:r>
              <w:rPr>
                <w:rFonts w:ascii="宋体" w:hAnsi="宋体" w:cs="宋体"/>
                <w:color w:val="auto"/>
                <w:kern w:val="0"/>
                <w:sz w:val="24"/>
              </w:rPr>
              <w:t>5</w:t>
            </w:r>
          </w:p>
        </w:tc>
        <w:tc>
          <w:tcPr>
            <w:tcW w:w="478" w:type="pct"/>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1A060309">
            <w:pPr>
              <w:widowControl/>
              <w:wordWrap w:val="0"/>
              <w:spacing w:line="75" w:lineRule="atLeast"/>
              <w:jc w:val="left"/>
              <w:rPr>
                <w:rFonts w:ascii="宋体" w:hAnsi="宋体" w:cs="宋体"/>
                <w:color w:val="auto"/>
                <w:kern w:val="0"/>
                <w:sz w:val="24"/>
              </w:rPr>
            </w:pPr>
            <w:r>
              <w:rPr>
                <w:rFonts w:ascii="宋体" w:hAnsi="宋体" w:cs="宋体"/>
                <w:color w:val="auto"/>
                <w:kern w:val="0"/>
                <w:sz w:val="24"/>
              </w:rPr>
              <w:t>10.3.1</w:t>
            </w:r>
          </w:p>
        </w:tc>
        <w:tc>
          <w:tcPr>
            <w:tcW w:w="4179" w:type="pct"/>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33432943">
            <w:pPr>
              <w:rPr>
                <w:rFonts w:ascii="宋体" w:hAnsi="宋体"/>
                <w:b/>
                <w:bCs/>
                <w:color w:val="auto"/>
              </w:rPr>
            </w:pPr>
            <w:r>
              <w:rPr>
                <w:rFonts w:ascii="宋体" w:hAnsi="宋体" w:cs="宋体"/>
                <w:b/>
                <w:bCs/>
                <w:color w:val="auto"/>
                <w:kern w:val="0"/>
                <w:sz w:val="24"/>
              </w:rPr>
              <w:t>谈判保证金退还的其它要求：</w:t>
            </w:r>
            <w:r>
              <w:rPr>
                <w:rFonts w:hint="eastAsia" w:cs="宋体"/>
                <w:color w:val="auto"/>
                <w:kern w:val="0"/>
                <w:sz w:val="24"/>
              </w:rPr>
              <w:t>成交供应商应将合同原件一份送采购代理机构备案。采购代理机构接到《合同》后，以原缴交方式退还成交供应商的谈判保证金。</w:t>
            </w:r>
          </w:p>
        </w:tc>
      </w:tr>
      <w:tr w14:paraId="1828B7D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75" w:hRule="atLeast"/>
          <w:tblCellSpacing w:w="15" w:type="dxa"/>
        </w:trPr>
        <w:tc>
          <w:tcPr>
            <w:tcW w:w="273" w:type="pct"/>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4A1700BF">
            <w:pPr>
              <w:widowControl/>
              <w:spacing w:line="75" w:lineRule="atLeast"/>
              <w:jc w:val="center"/>
              <w:rPr>
                <w:rFonts w:ascii="宋体" w:hAnsi="宋体" w:cs="宋体"/>
                <w:color w:val="auto"/>
                <w:kern w:val="0"/>
                <w:sz w:val="24"/>
              </w:rPr>
            </w:pPr>
            <w:r>
              <w:rPr>
                <w:rFonts w:ascii="宋体" w:hAnsi="宋体" w:cs="宋体"/>
                <w:color w:val="auto"/>
                <w:kern w:val="0"/>
                <w:sz w:val="24"/>
              </w:rPr>
              <w:t>6</w:t>
            </w:r>
          </w:p>
        </w:tc>
        <w:tc>
          <w:tcPr>
            <w:tcW w:w="478" w:type="pct"/>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040CD719">
            <w:pPr>
              <w:widowControl/>
              <w:wordWrap w:val="0"/>
              <w:spacing w:line="75" w:lineRule="atLeast"/>
              <w:jc w:val="left"/>
              <w:rPr>
                <w:rFonts w:ascii="宋体" w:hAnsi="宋体" w:cs="宋体"/>
                <w:color w:val="auto"/>
                <w:kern w:val="0"/>
                <w:sz w:val="24"/>
              </w:rPr>
            </w:pPr>
            <w:r>
              <w:rPr>
                <w:rFonts w:ascii="宋体" w:hAnsi="宋体" w:cs="宋体"/>
                <w:color w:val="auto"/>
                <w:kern w:val="0"/>
                <w:sz w:val="24"/>
              </w:rPr>
              <w:t>11.1</w:t>
            </w:r>
          </w:p>
        </w:tc>
        <w:tc>
          <w:tcPr>
            <w:tcW w:w="4179" w:type="pct"/>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7C9EEEFC">
            <w:pPr>
              <w:widowControl/>
              <w:wordWrap w:val="0"/>
              <w:spacing w:line="435" w:lineRule="atLeast"/>
              <w:jc w:val="left"/>
              <w:rPr>
                <w:rFonts w:ascii="宋体" w:hAnsi="宋体" w:cs="宋体"/>
                <w:color w:val="auto"/>
                <w:kern w:val="0"/>
                <w:sz w:val="24"/>
              </w:rPr>
            </w:pPr>
            <w:r>
              <w:rPr>
                <w:rFonts w:ascii="宋体" w:hAnsi="宋体" w:cs="宋体"/>
                <w:b/>
                <w:bCs/>
                <w:color w:val="auto"/>
                <w:kern w:val="0"/>
                <w:sz w:val="24"/>
              </w:rPr>
              <w:t>响应文件的份数</w:t>
            </w:r>
          </w:p>
          <w:p w14:paraId="6BB80FAF">
            <w:pPr>
              <w:widowControl/>
              <w:wordWrap w:val="0"/>
              <w:spacing w:line="75" w:lineRule="atLeast"/>
              <w:jc w:val="left"/>
              <w:rPr>
                <w:rFonts w:ascii="宋体" w:hAnsi="宋体" w:cs="宋体"/>
                <w:color w:val="auto"/>
                <w:kern w:val="0"/>
                <w:sz w:val="24"/>
              </w:rPr>
            </w:pPr>
            <w:r>
              <w:rPr>
                <w:rFonts w:hint="eastAsia" w:ascii="宋体" w:hAnsi="宋体" w:cs="宋体"/>
                <w:color w:val="auto"/>
                <w:kern w:val="0"/>
                <w:sz w:val="24"/>
              </w:rPr>
              <w:t>纸质响应文件</w:t>
            </w:r>
          </w:p>
          <w:p w14:paraId="7E54B725">
            <w:pPr>
              <w:widowControl/>
              <w:wordWrap w:val="0"/>
              <w:spacing w:line="75" w:lineRule="atLeast"/>
              <w:jc w:val="left"/>
              <w:rPr>
                <w:rFonts w:hint="eastAsia" w:ascii="宋体" w:hAnsi="宋体" w:cs="宋体"/>
                <w:color w:val="auto"/>
                <w:kern w:val="0"/>
                <w:sz w:val="24"/>
              </w:rPr>
            </w:pPr>
            <w:r>
              <w:rPr>
                <w:rFonts w:hint="eastAsia" w:ascii="宋体" w:hAnsi="宋体" w:cs="宋体"/>
                <w:color w:val="auto"/>
                <w:kern w:val="0"/>
                <w:sz w:val="24"/>
              </w:rPr>
              <w:t>谈判供应商应准备谈判响应文件：</w:t>
            </w:r>
          </w:p>
          <w:p w14:paraId="20D85399">
            <w:pPr>
              <w:widowControl/>
              <w:wordWrap w:val="0"/>
              <w:spacing w:line="75" w:lineRule="atLeast"/>
              <w:jc w:val="left"/>
              <w:rPr>
                <w:rFonts w:hint="eastAsia" w:ascii="宋体" w:hAnsi="宋体" w:cs="宋体"/>
                <w:b/>
                <w:bCs/>
                <w:color w:val="auto"/>
                <w:kern w:val="0"/>
                <w:sz w:val="24"/>
              </w:rPr>
            </w:pPr>
            <w:r>
              <w:rPr>
                <w:rFonts w:hint="eastAsia" w:ascii="宋体" w:hAnsi="宋体" w:cs="宋体"/>
                <w:b/>
                <w:bCs/>
                <w:color w:val="auto"/>
                <w:kern w:val="0"/>
                <w:sz w:val="24"/>
                <w:lang w:val="en-US" w:eastAsia="zh-CN"/>
              </w:rPr>
              <w:t>1.</w:t>
            </w:r>
            <w:r>
              <w:rPr>
                <w:rFonts w:hint="eastAsia" w:ascii="宋体" w:hAnsi="宋体" w:cs="宋体"/>
                <w:b/>
                <w:bCs/>
                <w:color w:val="auto"/>
                <w:kern w:val="0"/>
                <w:sz w:val="24"/>
              </w:rPr>
              <w:t>正本壹份和副本</w:t>
            </w:r>
            <w:r>
              <w:rPr>
                <w:rFonts w:hint="eastAsia" w:ascii="宋体" w:hAnsi="宋体" w:cs="宋体"/>
                <w:b/>
                <w:bCs/>
                <w:color w:val="auto"/>
                <w:kern w:val="0"/>
                <w:sz w:val="24"/>
                <w:lang w:val="en-US" w:eastAsia="zh-CN"/>
              </w:rPr>
              <w:t>贰</w:t>
            </w:r>
            <w:r>
              <w:rPr>
                <w:rFonts w:hint="eastAsia" w:ascii="宋体" w:hAnsi="宋体" w:cs="宋体"/>
                <w:b/>
                <w:bCs/>
                <w:color w:val="auto"/>
                <w:kern w:val="0"/>
                <w:sz w:val="24"/>
              </w:rPr>
              <w:t>份，且在每一份谈判响应文件封面上要注明“正本”或“副本”字样，一旦谈判响应文件的正本和副本有差异时，以正本为准。所有谈判响应文件均须胶装（为永久性、无破坏不可拆分）装订成册并加盖骑缝章。</w:t>
            </w:r>
          </w:p>
          <w:p w14:paraId="0762EF5F">
            <w:pPr>
              <w:widowControl/>
              <w:wordWrap w:val="0"/>
              <w:spacing w:line="75" w:lineRule="atLeast"/>
              <w:jc w:val="left"/>
              <w:rPr>
                <w:rFonts w:hint="eastAsia" w:ascii="宋体" w:hAnsi="宋体" w:eastAsia="宋体" w:cs="宋体"/>
                <w:color w:val="auto"/>
                <w:kern w:val="0"/>
                <w:sz w:val="24"/>
                <w:lang w:val="en-US" w:eastAsia="zh-CN"/>
              </w:rPr>
            </w:pPr>
            <w:r>
              <w:rPr>
                <w:rFonts w:hint="eastAsia" w:ascii="宋体" w:hAnsi="宋体" w:cs="宋体"/>
                <w:b/>
                <w:bCs/>
                <w:color w:val="auto"/>
                <w:kern w:val="0"/>
                <w:sz w:val="24"/>
                <w:lang w:val="en-US" w:eastAsia="zh-CN"/>
              </w:rPr>
              <w:t>2.可读介质(光盘或U盘，以扫描投标文件正本为准)1份</w:t>
            </w:r>
            <w:r>
              <w:rPr>
                <w:rFonts w:hint="eastAsia" w:ascii="宋体" w:hAnsi="宋体" w:cs="仿宋"/>
                <w:b/>
                <w:bCs/>
                <w:color w:val="auto"/>
                <w:sz w:val="24"/>
                <w:szCs w:val="24"/>
                <w:lang w:eastAsia="zh-CN"/>
              </w:rPr>
              <w:t>。</w:t>
            </w:r>
          </w:p>
        </w:tc>
      </w:tr>
      <w:tr w14:paraId="6559A7E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75" w:hRule="atLeast"/>
          <w:tblCellSpacing w:w="15" w:type="dxa"/>
        </w:trPr>
        <w:tc>
          <w:tcPr>
            <w:tcW w:w="273" w:type="pct"/>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2FF9A138">
            <w:pPr>
              <w:widowControl/>
              <w:spacing w:line="75" w:lineRule="atLeast"/>
              <w:jc w:val="center"/>
              <w:rPr>
                <w:rFonts w:ascii="宋体" w:hAnsi="宋体" w:cs="宋体"/>
                <w:color w:val="auto"/>
                <w:kern w:val="0"/>
                <w:sz w:val="24"/>
              </w:rPr>
            </w:pPr>
            <w:r>
              <w:rPr>
                <w:rFonts w:ascii="宋体" w:hAnsi="宋体" w:cs="宋体"/>
                <w:color w:val="auto"/>
                <w:kern w:val="0"/>
                <w:sz w:val="24"/>
              </w:rPr>
              <w:t>7</w:t>
            </w:r>
          </w:p>
        </w:tc>
        <w:tc>
          <w:tcPr>
            <w:tcW w:w="478" w:type="pct"/>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388C8F64">
            <w:pPr>
              <w:widowControl/>
              <w:wordWrap w:val="0"/>
              <w:spacing w:line="75" w:lineRule="atLeast"/>
              <w:jc w:val="left"/>
              <w:rPr>
                <w:rFonts w:ascii="宋体" w:hAnsi="宋体" w:cs="宋体"/>
                <w:color w:val="auto"/>
                <w:kern w:val="0"/>
                <w:sz w:val="24"/>
              </w:rPr>
            </w:pPr>
            <w:r>
              <w:rPr>
                <w:rFonts w:ascii="宋体" w:hAnsi="宋体" w:cs="宋体"/>
                <w:color w:val="auto"/>
                <w:kern w:val="0"/>
                <w:sz w:val="24"/>
              </w:rPr>
              <w:t>14.4</w:t>
            </w:r>
          </w:p>
        </w:tc>
        <w:tc>
          <w:tcPr>
            <w:tcW w:w="4179" w:type="pct"/>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top"/>
          </w:tcPr>
          <w:p w14:paraId="5D91E14D">
            <w:pPr>
              <w:widowControl/>
              <w:spacing w:line="435" w:lineRule="atLeast"/>
              <w:jc w:val="left"/>
              <w:rPr>
                <w:rFonts w:ascii="宋体" w:hAnsi="宋体" w:cs="宋体"/>
                <w:color w:val="auto"/>
                <w:kern w:val="0"/>
                <w:sz w:val="24"/>
              </w:rPr>
            </w:pPr>
            <w:r>
              <w:rPr>
                <w:rFonts w:ascii="宋体" w:hAnsi="宋体" w:cs="宋体"/>
                <w:b/>
                <w:bCs/>
                <w:color w:val="auto"/>
                <w:kern w:val="0"/>
                <w:sz w:val="24"/>
              </w:rPr>
              <w:t>谈判过程中可能发生实质性变动的内容：</w:t>
            </w:r>
          </w:p>
          <w:p w14:paraId="34617210">
            <w:pPr>
              <w:widowControl/>
              <w:spacing w:line="75" w:lineRule="atLeast"/>
              <w:jc w:val="left"/>
              <w:rPr>
                <w:rFonts w:ascii="宋体" w:hAnsi="宋体" w:cs="宋体"/>
                <w:color w:val="auto"/>
                <w:kern w:val="0"/>
                <w:sz w:val="24"/>
              </w:rPr>
            </w:pPr>
            <w:r>
              <w:rPr>
                <w:rFonts w:ascii="宋体" w:hAnsi="宋体" w:cs="宋体"/>
                <w:color w:val="auto"/>
                <w:kern w:val="0"/>
                <w:sz w:val="24"/>
              </w:rPr>
              <w:t>无</w:t>
            </w:r>
          </w:p>
        </w:tc>
      </w:tr>
      <w:tr w14:paraId="40799BF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75" w:hRule="atLeast"/>
          <w:tblCellSpacing w:w="15" w:type="dxa"/>
        </w:trPr>
        <w:tc>
          <w:tcPr>
            <w:tcW w:w="273" w:type="pct"/>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3608E269">
            <w:pPr>
              <w:widowControl/>
              <w:spacing w:line="75" w:lineRule="atLeast"/>
              <w:jc w:val="center"/>
              <w:rPr>
                <w:rFonts w:ascii="宋体" w:hAnsi="宋体" w:cs="宋体"/>
                <w:color w:val="auto"/>
                <w:kern w:val="0"/>
                <w:sz w:val="24"/>
              </w:rPr>
            </w:pPr>
            <w:r>
              <w:rPr>
                <w:rFonts w:ascii="宋体" w:hAnsi="宋体" w:cs="宋体"/>
                <w:color w:val="auto"/>
                <w:kern w:val="0"/>
                <w:sz w:val="24"/>
              </w:rPr>
              <w:t>8</w:t>
            </w:r>
          </w:p>
        </w:tc>
        <w:tc>
          <w:tcPr>
            <w:tcW w:w="478" w:type="pct"/>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5D3E5E22">
            <w:pPr>
              <w:widowControl/>
              <w:wordWrap w:val="0"/>
              <w:spacing w:line="75" w:lineRule="atLeast"/>
              <w:jc w:val="left"/>
              <w:rPr>
                <w:rFonts w:ascii="宋体" w:hAnsi="宋体" w:cs="宋体"/>
                <w:color w:val="auto"/>
                <w:kern w:val="0"/>
                <w:sz w:val="24"/>
              </w:rPr>
            </w:pPr>
            <w:r>
              <w:rPr>
                <w:rFonts w:ascii="宋体" w:hAnsi="宋体" w:cs="宋体"/>
                <w:color w:val="auto"/>
                <w:kern w:val="0"/>
                <w:sz w:val="24"/>
              </w:rPr>
              <w:t>22.2</w:t>
            </w:r>
          </w:p>
        </w:tc>
        <w:tc>
          <w:tcPr>
            <w:tcW w:w="4179" w:type="pct"/>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top"/>
          </w:tcPr>
          <w:p w14:paraId="3F8CBA3B">
            <w:pPr>
              <w:pStyle w:val="12"/>
              <w:spacing w:before="75" w:beforeAutospacing="0" w:after="75" w:afterAutospacing="0" w:line="435" w:lineRule="atLeast"/>
              <w:ind w:firstLine="240" w:firstLineChars="100"/>
              <w:rPr>
                <w:rFonts w:hint="eastAsia" w:ascii="宋体" w:hAnsi="宋体" w:eastAsia="宋体" w:cs="宋体"/>
                <w:color w:val="auto"/>
                <w:kern w:val="0"/>
                <w:sz w:val="24"/>
                <w:lang w:eastAsia="zh-CN"/>
              </w:rPr>
            </w:pPr>
            <w:r>
              <w:rPr>
                <w:rFonts w:hint="eastAsia"/>
                <w:color w:val="auto"/>
                <w:shd w:val="clear" w:color="auto" w:fill="FFFFFF"/>
                <w:lang w:eastAsia="zh-CN"/>
              </w:rPr>
              <w:t>有关本项目谈判的相关信息（包括谈判文件若有修改）均发布于</w:t>
            </w:r>
            <w:r>
              <w:rPr>
                <w:rFonts w:hint="eastAsia" w:ascii="宋体" w:hAnsi="宋体" w:eastAsia="宋体" w:cs="宋体"/>
                <w:b/>
                <w:bCs/>
                <w:color w:val="auto"/>
                <w:sz w:val="24"/>
                <w:szCs w:val="24"/>
              </w:rPr>
              <w:t>南安市紧密型医共体招采供平台（http://nazb.51zhaobiao.cn/f）、微信公众号“南安疾控”</w:t>
            </w:r>
            <w:r>
              <w:rPr>
                <w:rFonts w:hint="eastAsia"/>
                <w:color w:val="auto"/>
                <w:shd w:val="clear" w:color="auto" w:fill="FFFFFF"/>
                <w:lang w:eastAsia="zh-CN"/>
              </w:rPr>
              <w:t>不作另行通知，请潜在投标供应商随时关注相关网站，以免错漏重要信息。</w:t>
            </w:r>
          </w:p>
        </w:tc>
      </w:tr>
      <w:tr w14:paraId="5665F9D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75" w:hRule="atLeast"/>
          <w:tblCellSpacing w:w="15" w:type="dxa"/>
        </w:trPr>
        <w:tc>
          <w:tcPr>
            <w:tcW w:w="273" w:type="pct"/>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65270DB5">
            <w:pPr>
              <w:widowControl/>
              <w:spacing w:line="75" w:lineRule="atLeast"/>
              <w:jc w:val="center"/>
              <w:rPr>
                <w:rFonts w:ascii="宋体" w:hAnsi="宋体" w:cs="宋体"/>
                <w:color w:val="auto"/>
                <w:kern w:val="0"/>
                <w:sz w:val="24"/>
              </w:rPr>
            </w:pPr>
            <w:r>
              <w:rPr>
                <w:rFonts w:ascii="宋体" w:hAnsi="宋体" w:cs="宋体"/>
                <w:color w:val="auto"/>
                <w:kern w:val="0"/>
                <w:sz w:val="24"/>
              </w:rPr>
              <w:t>9</w:t>
            </w:r>
          </w:p>
        </w:tc>
        <w:tc>
          <w:tcPr>
            <w:tcW w:w="478" w:type="pct"/>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6E135500">
            <w:pPr>
              <w:widowControl/>
              <w:wordWrap w:val="0"/>
              <w:spacing w:line="75" w:lineRule="atLeast"/>
              <w:jc w:val="left"/>
              <w:rPr>
                <w:rFonts w:ascii="宋体" w:hAnsi="宋体" w:cs="宋体"/>
                <w:color w:val="auto"/>
                <w:kern w:val="0"/>
                <w:sz w:val="24"/>
              </w:rPr>
            </w:pPr>
            <w:r>
              <w:rPr>
                <w:rFonts w:ascii="宋体" w:hAnsi="宋体" w:cs="宋体"/>
                <w:color w:val="auto"/>
                <w:kern w:val="0"/>
                <w:sz w:val="24"/>
              </w:rPr>
              <w:t>23.1</w:t>
            </w:r>
          </w:p>
        </w:tc>
        <w:tc>
          <w:tcPr>
            <w:tcW w:w="4179" w:type="pct"/>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582FFBCB">
            <w:pPr>
              <w:widowControl/>
              <w:jc w:val="left"/>
              <w:rPr>
                <w:rFonts w:ascii="宋体" w:hAnsi="宋体" w:cs="宋体"/>
                <w:color w:val="auto"/>
                <w:kern w:val="0"/>
                <w:sz w:val="24"/>
              </w:rPr>
            </w:pPr>
            <w:r>
              <w:rPr>
                <w:rFonts w:ascii="宋体" w:hAnsi="宋体" w:cs="宋体"/>
                <w:b/>
                <w:bCs/>
                <w:color w:val="auto"/>
                <w:kern w:val="0"/>
                <w:sz w:val="24"/>
              </w:rPr>
              <w:t>本项目监督管理部门：</w:t>
            </w:r>
          </w:p>
          <w:p w14:paraId="1E784FB2">
            <w:pPr>
              <w:widowControl/>
              <w:spacing w:line="75" w:lineRule="atLeast"/>
              <w:jc w:val="left"/>
              <w:rPr>
                <w:rFonts w:hint="eastAsia" w:ascii="宋体" w:hAnsi="宋体" w:eastAsia="宋体" w:cs="宋体"/>
                <w:color w:val="auto"/>
                <w:kern w:val="0"/>
                <w:sz w:val="24"/>
                <w:lang w:eastAsia="zh-CN"/>
              </w:rPr>
            </w:pPr>
            <w:r>
              <w:rPr>
                <w:rFonts w:hint="eastAsia" w:ascii="宋体" w:hAnsi="宋体" w:cs="宋体"/>
                <w:color w:val="auto"/>
                <w:kern w:val="0"/>
                <w:sz w:val="24"/>
                <w:lang w:eastAsia="zh-CN"/>
              </w:rPr>
              <w:t>南安市疾病预防控制中心</w:t>
            </w:r>
          </w:p>
        </w:tc>
      </w:tr>
      <w:tr w14:paraId="3EBB85F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75" w:hRule="atLeast"/>
          <w:tblCellSpacing w:w="15" w:type="dxa"/>
        </w:trPr>
        <w:tc>
          <w:tcPr>
            <w:tcW w:w="273" w:type="pct"/>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71043003">
            <w:pPr>
              <w:widowControl/>
              <w:spacing w:line="75" w:lineRule="atLeast"/>
              <w:jc w:val="center"/>
              <w:rPr>
                <w:rFonts w:ascii="宋体" w:hAnsi="宋体" w:cs="宋体"/>
                <w:color w:val="auto"/>
                <w:kern w:val="0"/>
                <w:sz w:val="24"/>
              </w:rPr>
            </w:pPr>
            <w:r>
              <w:rPr>
                <w:rFonts w:ascii="宋体" w:hAnsi="宋体" w:cs="宋体"/>
                <w:color w:val="auto"/>
                <w:kern w:val="0"/>
                <w:sz w:val="24"/>
              </w:rPr>
              <w:t>10</w:t>
            </w:r>
          </w:p>
        </w:tc>
        <w:tc>
          <w:tcPr>
            <w:tcW w:w="478" w:type="pct"/>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7CC920EF">
            <w:pPr>
              <w:widowControl/>
              <w:wordWrap w:val="0"/>
              <w:spacing w:line="75" w:lineRule="atLeast"/>
              <w:jc w:val="left"/>
              <w:rPr>
                <w:rFonts w:ascii="宋体" w:hAnsi="宋体" w:cs="宋体"/>
                <w:color w:val="auto"/>
                <w:kern w:val="0"/>
                <w:sz w:val="24"/>
              </w:rPr>
            </w:pPr>
            <w:r>
              <w:rPr>
                <w:rFonts w:ascii="宋体" w:hAnsi="宋体" w:cs="宋体"/>
                <w:color w:val="auto"/>
                <w:kern w:val="0"/>
                <w:sz w:val="24"/>
              </w:rPr>
              <w:t>24.1</w:t>
            </w:r>
          </w:p>
        </w:tc>
        <w:tc>
          <w:tcPr>
            <w:tcW w:w="4179" w:type="pct"/>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16E104B3">
            <w:pPr>
              <w:widowControl/>
              <w:spacing w:line="435" w:lineRule="atLeast"/>
              <w:jc w:val="left"/>
              <w:rPr>
                <w:rFonts w:ascii="宋体" w:hAnsi="宋体" w:cs="宋体"/>
                <w:color w:val="auto"/>
                <w:kern w:val="0"/>
                <w:sz w:val="24"/>
              </w:rPr>
            </w:pPr>
            <w:r>
              <w:rPr>
                <w:rFonts w:hint="eastAsia" w:ascii="宋体" w:hAnsi="宋体" w:cs="宋体"/>
                <w:b/>
                <w:bCs/>
                <w:color w:val="auto"/>
                <w:kern w:val="0"/>
                <w:sz w:val="24"/>
              </w:rPr>
              <w:t>是否收取</w:t>
            </w:r>
            <w:r>
              <w:rPr>
                <w:rFonts w:ascii="宋体" w:hAnsi="宋体" w:cs="宋体"/>
                <w:b/>
                <w:bCs/>
                <w:color w:val="auto"/>
                <w:kern w:val="0"/>
                <w:sz w:val="24"/>
              </w:rPr>
              <w:t>履约保证金：</w:t>
            </w:r>
            <w:r>
              <w:rPr>
                <w:rFonts w:hint="eastAsia" w:ascii="宋体" w:hAnsi="宋体" w:cs="宋体"/>
                <w:b/>
                <w:bCs/>
                <w:color w:val="auto"/>
                <w:kern w:val="0"/>
                <w:sz w:val="24"/>
                <w:lang w:val="en-US" w:eastAsia="zh-CN"/>
              </w:rPr>
              <w:t>详见第三章</w:t>
            </w:r>
            <w:r>
              <w:rPr>
                <w:rFonts w:hint="eastAsia" w:ascii="宋体" w:hAnsi="宋体" w:cs="宋体"/>
                <w:b/>
                <w:bCs/>
                <w:color w:val="auto"/>
                <w:kern w:val="0"/>
                <w:sz w:val="24"/>
              </w:rPr>
              <w:t>。</w:t>
            </w:r>
          </w:p>
        </w:tc>
      </w:tr>
      <w:tr w14:paraId="6287435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05" w:hRule="atLeast"/>
          <w:tblCellSpacing w:w="15" w:type="dxa"/>
        </w:trPr>
        <w:tc>
          <w:tcPr>
            <w:tcW w:w="273" w:type="pct"/>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1001A7D1">
            <w:pPr>
              <w:widowControl/>
              <w:spacing w:line="105" w:lineRule="atLeast"/>
              <w:jc w:val="center"/>
              <w:rPr>
                <w:rFonts w:ascii="宋体" w:hAnsi="宋体" w:cs="宋体"/>
                <w:color w:val="auto"/>
                <w:kern w:val="0"/>
                <w:sz w:val="24"/>
              </w:rPr>
            </w:pPr>
            <w:r>
              <w:rPr>
                <w:rFonts w:ascii="宋体" w:hAnsi="宋体" w:cs="宋体"/>
                <w:color w:val="auto"/>
                <w:kern w:val="0"/>
                <w:sz w:val="24"/>
              </w:rPr>
              <w:t>11</w:t>
            </w:r>
          </w:p>
        </w:tc>
        <w:tc>
          <w:tcPr>
            <w:tcW w:w="478" w:type="pct"/>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3F153E0A">
            <w:pPr>
              <w:widowControl/>
              <w:wordWrap w:val="0"/>
              <w:spacing w:line="105" w:lineRule="atLeast"/>
              <w:jc w:val="left"/>
              <w:rPr>
                <w:rFonts w:ascii="宋体" w:hAnsi="宋体" w:cs="宋体"/>
                <w:color w:val="auto"/>
                <w:kern w:val="0"/>
                <w:sz w:val="24"/>
              </w:rPr>
            </w:pPr>
            <w:r>
              <w:rPr>
                <w:rFonts w:ascii="宋体" w:hAnsi="宋体" w:cs="宋体"/>
                <w:color w:val="auto"/>
                <w:kern w:val="0"/>
                <w:sz w:val="24"/>
              </w:rPr>
              <w:t>25</w:t>
            </w:r>
          </w:p>
        </w:tc>
        <w:tc>
          <w:tcPr>
            <w:tcW w:w="4179" w:type="pct"/>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3C229CD5">
            <w:pPr>
              <w:widowControl/>
              <w:numPr>
                <w:ilvl w:val="0"/>
                <w:numId w:val="0"/>
              </w:numPr>
              <w:spacing w:line="105" w:lineRule="atLeast"/>
              <w:jc w:val="left"/>
              <w:rPr>
                <w:rFonts w:hint="eastAsia" w:ascii="宋体" w:hAnsi="宋体" w:cs="宋体"/>
                <w:b/>
                <w:bCs/>
                <w:color w:val="auto"/>
                <w:kern w:val="0"/>
                <w:sz w:val="24"/>
              </w:rPr>
            </w:pPr>
            <w:r>
              <w:rPr>
                <w:rFonts w:hint="eastAsia" w:ascii="宋体" w:hAnsi="宋体" w:eastAsia="宋体" w:cs="宋体"/>
                <w:b/>
                <w:bCs/>
                <w:color w:val="auto"/>
                <w:kern w:val="0"/>
                <w:sz w:val="24"/>
                <w:szCs w:val="24"/>
                <w:lang w:val="en-US" w:eastAsia="zh-CN" w:bidi="ar-SA"/>
              </w:rPr>
              <w:t>1.</w:t>
            </w:r>
            <w:r>
              <w:rPr>
                <w:rFonts w:ascii="宋体" w:hAnsi="宋体" w:cs="宋体"/>
                <w:b/>
                <w:bCs/>
                <w:color w:val="auto"/>
                <w:kern w:val="0"/>
                <w:sz w:val="24"/>
              </w:rPr>
              <w:t>本项目的招标代理服务费由</w:t>
            </w:r>
            <w:r>
              <w:rPr>
                <w:rFonts w:hint="eastAsia" w:ascii="宋体" w:hAnsi="宋体" w:cs="宋体"/>
                <w:b/>
                <w:bCs/>
                <w:color w:val="auto"/>
                <w:kern w:val="0"/>
                <w:sz w:val="24"/>
                <w:lang w:eastAsia="zh-CN"/>
              </w:rPr>
              <w:t>成交供应商</w:t>
            </w:r>
            <w:r>
              <w:rPr>
                <w:rFonts w:ascii="宋体" w:hAnsi="宋体" w:cs="宋体"/>
                <w:b/>
                <w:bCs/>
                <w:color w:val="auto"/>
                <w:kern w:val="0"/>
                <w:sz w:val="24"/>
              </w:rPr>
              <w:t>支付。</w:t>
            </w:r>
            <w:r>
              <w:rPr>
                <w:rFonts w:ascii="宋体" w:hAnsi="宋体" w:cs="宋体"/>
                <w:b/>
                <w:bCs/>
                <w:color w:val="auto"/>
                <w:kern w:val="0"/>
                <w:sz w:val="24"/>
              </w:rPr>
              <w:br w:type="textWrapping"/>
            </w:r>
            <w:r>
              <w:rPr>
                <w:rFonts w:hint="eastAsia" w:ascii="宋体" w:hAnsi="宋体" w:cs="宋体"/>
                <w:b/>
                <w:bCs/>
                <w:color w:val="auto"/>
                <w:kern w:val="0"/>
                <w:sz w:val="24"/>
              </w:rPr>
              <w:t>2.本项目成交供应商应在领取《中标（成交）通知书》时，</w:t>
            </w:r>
            <w:r>
              <w:rPr>
                <w:rFonts w:hint="eastAsia" w:ascii="宋体" w:hAnsi="宋体" w:cs="宋体"/>
                <w:b/>
                <w:bCs/>
                <w:color w:val="auto"/>
                <w:kern w:val="0"/>
                <w:sz w:val="24"/>
                <w:lang w:val="en-US" w:eastAsia="zh-CN"/>
              </w:rPr>
              <w:t>向招标代理支付招标代理服务费叁仟元整</w:t>
            </w:r>
            <w:r>
              <w:rPr>
                <w:rFonts w:hint="eastAsia" w:ascii="宋体" w:hAnsi="宋体" w:cs="宋体"/>
                <w:b/>
                <w:bCs/>
                <w:color w:val="auto"/>
                <w:kern w:val="0"/>
                <w:sz w:val="24"/>
              </w:rPr>
              <w:t>；以电汇、转账等方式(汇单须注明招标编号)向采购代理机构缴交。招标代理服务费收取方式：可用支票、汇票、电汇等付款方式一次性缴清。</w:t>
            </w:r>
          </w:p>
          <w:p w14:paraId="045C5129">
            <w:pPr>
              <w:widowControl/>
              <w:numPr>
                <w:ilvl w:val="0"/>
                <w:numId w:val="0"/>
              </w:numPr>
              <w:spacing w:line="105" w:lineRule="atLeast"/>
              <w:jc w:val="left"/>
              <w:rPr>
                <w:rFonts w:hint="eastAsia" w:ascii="宋体" w:hAnsi="宋体" w:cs="宋体"/>
                <w:b/>
                <w:bCs/>
                <w:color w:val="auto"/>
                <w:kern w:val="0"/>
                <w:sz w:val="24"/>
              </w:rPr>
            </w:pPr>
            <w:r>
              <w:rPr>
                <w:rFonts w:hint="eastAsia" w:ascii="宋体" w:hAnsi="宋体" w:cs="宋体"/>
                <w:b/>
                <w:bCs/>
                <w:color w:val="auto"/>
                <w:kern w:val="0"/>
                <w:sz w:val="24"/>
              </w:rPr>
              <w:t>缴纳费用账号：</w:t>
            </w:r>
          </w:p>
          <w:p w14:paraId="3F883C37">
            <w:pPr>
              <w:widowControl/>
              <w:numPr>
                <w:ilvl w:val="0"/>
                <w:numId w:val="0"/>
              </w:numPr>
              <w:spacing w:line="105" w:lineRule="atLeast"/>
              <w:jc w:val="left"/>
              <w:rPr>
                <w:rFonts w:hint="eastAsia" w:ascii="宋体" w:hAnsi="宋体" w:cs="宋体"/>
                <w:b/>
                <w:bCs/>
                <w:color w:val="auto"/>
                <w:kern w:val="0"/>
                <w:sz w:val="24"/>
              </w:rPr>
            </w:pPr>
            <w:r>
              <w:rPr>
                <w:rFonts w:hint="eastAsia" w:ascii="宋体" w:hAnsi="宋体" w:cs="宋体"/>
                <w:b/>
                <w:bCs/>
                <w:color w:val="auto"/>
                <w:kern w:val="0"/>
                <w:sz w:val="24"/>
              </w:rPr>
              <w:t>开户行：中国银行股份有限公司丰泽支行</w:t>
            </w:r>
          </w:p>
          <w:p w14:paraId="0EB5ADA2">
            <w:pPr>
              <w:widowControl/>
              <w:numPr>
                <w:ilvl w:val="0"/>
                <w:numId w:val="0"/>
              </w:numPr>
              <w:spacing w:line="105" w:lineRule="atLeast"/>
              <w:jc w:val="left"/>
              <w:rPr>
                <w:rFonts w:hint="eastAsia" w:ascii="宋体" w:hAnsi="宋体" w:cs="宋体"/>
                <w:b/>
                <w:bCs/>
                <w:color w:val="auto"/>
                <w:kern w:val="0"/>
                <w:sz w:val="24"/>
              </w:rPr>
            </w:pPr>
            <w:r>
              <w:rPr>
                <w:rFonts w:hint="eastAsia" w:ascii="宋体" w:hAnsi="宋体" w:cs="宋体"/>
                <w:b/>
                <w:bCs/>
                <w:color w:val="auto"/>
                <w:kern w:val="0"/>
                <w:sz w:val="24"/>
              </w:rPr>
              <w:t>户名：泉州市新开源项目咨询有限公司</w:t>
            </w:r>
          </w:p>
          <w:p w14:paraId="137E6F0E">
            <w:pPr>
              <w:widowControl/>
              <w:numPr>
                <w:ilvl w:val="0"/>
                <w:numId w:val="0"/>
              </w:numPr>
              <w:spacing w:line="105" w:lineRule="atLeast"/>
              <w:jc w:val="left"/>
              <w:rPr>
                <w:rFonts w:ascii="宋体" w:hAnsi="宋体" w:cs="宋体"/>
                <w:b/>
                <w:bCs/>
                <w:color w:val="auto"/>
                <w:kern w:val="0"/>
                <w:sz w:val="24"/>
              </w:rPr>
            </w:pPr>
            <w:r>
              <w:rPr>
                <w:rFonts w:hint="eastAsia" w:ascii="宋体" w:hAnsi="宋体" w:cs="宋体"/>
                <w:b/>
                <w:bCs/>
                <w:color w:val="auto"/>
                <w:kern w:val="0"/>
                <w:sz w:val="24"/>
              </w:rPr>
              <w:t>账号：414376406334</w:t>
            </w:r>
          </w:p>
        </w:tc>
      </w:tr>
      <w:tr w14:paraId="3E9B8D44">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48" w:hRule="atLeast"/>
          <w:tblCellSpacing w:w="15" w:type="dxa"/>
        </w:trPr>
        <w:tc>
          <w:tcPr>
            <w:tcW w:w="273" w:type="pct"/>
            <w:tcBorders>
              <w:top w:val="single" w:color="000000" w:sz="6" w:space="0"/>
              <w:left w:val="single" w:color="000000" w:sz="6" w:space="0"/>
              <w:bottom w:val="single" w:color="000000" w:sz="6" w:space="0"/>
              <w:right w:val="single" w:color="000000" w:sz="6" w:space="0"/>
            </w:tcBorders>
            <w:vAlign w:val="center"/>
          </w:tcPr>
          <w:p w14:paraId="0DDB22B6">
            <w:pPr>
              <w:widowControl/>
              <w:jc w:val="left"/>
              <w:rPr>
                <w:rFonts w:ascii="宋体" w:hAnsi="宋体" w:cs="宋体"/>
                <w:color w:val="auto"/>
                <w:kern w:val="0"/>
                <w:sz w:val="24"/>
              </w:rPr>
            </w:pPr>
            <w:r>
              <w:rPr>
                <w:rFonts w:ascii="宋体" w:hAnsi="宋体" w:cs="宋体"/>
                <w:color w:val="auto"/>
                <w:kern w:val="0"/>
                <w:sz w:val="24"/>
              </w:rPr>
              <w:t>12</w:t>
            </w:r>
          </w:p>
        </w:tc>
        <w:tc>
          <w:tcPr>
            <w:tcW w:w="478" w:type="pct"/>
            <w:tcBorders>
              <w:top w:val="single" w:color="000000" w:sz="6" w:space="0"/>
              <w:left w:val="single" w:color="000000" w:sz="6" w:space="0"/>
              <w:bottom w:val="single" w:color="000000" w:sz="6" w:space="0"/>
              <w:right w:val="single" w:color="000000" w:sz="6" w:space="0"/>
            </w:tcBorders>
            <w:vAlign w:val="center"/>
          </w:tcPr>
          <w:p w14:paraId="110CE7FE">
            <w:pPr>
              <w:widowControl/>
              <w:jc w:val="left"/>
              <w:rPr>
                <w:rFonts w:ascii="宋体" w:hAnsi="宋体" w:cs="宋体"/>
                <w:color w:val="auto"/>
                <w:kern w:val="0"/>
                <w:sz w:val="24"/>
              </w:rPr>
            </w:pPr>
          </w:p>
        </w:tc>
        <w:tc>
          <w:tcPr>
            <w:tcW w:w="4179" w:type="pct"/>
            <w:tcBorders>
              <w:top w:val="single" w:color="000000" w:sz="6" w:space="0"/>
              <w:left w:val="single" w:color="000000" w:sz="6" w:space="0"/>
              <w:bottom w:val="single" w:color="000000" w:sz="6" w:space="0"/>
              <w:right w:val="single" w:color="000000" w:sz="6" w:space="0"/>
            </w:tcBorders>
            <w:vAlign w:val="center"/>
          </w:tcPr>
          <w:p w14:paraId="6188203B">
            <w:pPr>
              <w:widowControl/>
              <w:spacing w:line="105" w:lineRule="atLeast"/>
              <w:jc w:val="left"/>
              <w:rPr>
                <w:rFonts w:hint="default" w:ascii="宋体" w:hAnsi="宋体" w:cs="宋体"/>
                <w:b/>
                <w:bCs/>
                <w:color w:val="auto"/>
                <w:kern w:val="0"/>
                <w:sz w:val="24"/>
                <w:lang w:val="en-US" w:eastAsia="zh-CN"/>
              </w:rPr>
            </w:pPr>
            <w:r>
              <w:rPr>
                <w:rFonts w:hint="eastAsia" w:ascii="宋体" w:hAnsi="宋体" w:eastAsia="宋体" w:cs="宋体"/>
                <w:b/>
                <w:bCs/>
                <w:color w:val="auto"/>
                <w:kern w:val="0"/>
                <w:sz w:val="24"/>
              </w:rPr>
              <w:t>是否组织现场考察或召开开标前答疑会：</w:t>
            </w:r>
            <w:r>
              <w:rPr>
                <w:rFonts w:hint="eastAsia" w:ascii="宋体" w:hAnsi="宋体" w:eastAsia="宋体" w:cs="宋体"/>
                <w:b/>
                <w:bCs/>
                <w:color w:val="auto"/>
                <w:kern w:val="0"/>
                <w:sz w:val="24"/>
                <w:lang w:val="en-US" w:eastAsia="zh-CN"/>
              </w:rPr>
              <w:t>否。</w:t>
            </w:r>
          </w:p>
        </w:tc>
      </w:tr>
    </w:tbl>
    <w:p w14:paraId="170FF8CC">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w:t>
      </w:r>
      <w:r>
        <w:rPr>
          <w:rFonts w:hint="eastAsia" w:ascii="宋体" w:hAnsi="宋体" w:cs="宋体"/>
          <w:color w:val="auto"/>
          <w:kern w:val="0"/>
          <w:sz w:val="24"/>
        </w:rPr>
        <w:t>表2：</w:t>
      </w:r>
    </w:p>
    <w:tbl>
      <w:tblPr>
        <w:tblStyle w:val="14"/>
        <w:tblW w:w="87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560"/>
        <w:gridCol w:w="8155"/>
      </w:tblGrid>
      <w:tr w14:paraId="26D8C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715" w:type="dxa"/>
            <w:gridSpan w:val="2"/>
            <w:shd w:val="clear" w:color="auto" w:fill="FFFFFF"/>
            <w:tcMar>
              <w:top w:w="0" w:type="dxa"/>
              <w:left w:w="105" w:type="dxa"/>
              <w:bottom w:w="0" w:type="dxa"/>
              <w:right w:w="105" w:type="dxa"/>
            </w:tcMar>
            <w:vAlign w:val="center"/>
          </w:tcPr>
          <w:p w14:paraId="70FB9430">
            <w:pPr>
              <w:pStyle w:val="12"/>
              <w:spacing w:before="0" w:beforeAutospacing="0" w:after="0" w:afterAutospacing="0"/>
              <w:jc w:val="center"/>
              <w:rPr>
                <w:color w:val="auto"/>
              </w:rPr>
            </w:pPr>
          </w:p>
        </w:tc>
      </w:tr>
      <w:tr w14:paraId="2F910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60" w:type="dxa"/>
            <w:shd w:val="clear" w:color="auto" w:fill="FFFFFF"/>
            <w:tcMar>
              <w:top w:w="0" w:type="dxa"/>
              <w:left w:w="105" w:type="dxa"/>
              <w:bottom w:w="0" w:type="dxa"/>
              <w:right w:w="105" w:type="dxa"/>
            </w:tcMar>
            <w:vAlign w:val="center"/>
          </w:tcPr>
          <w:p w14:paraId="74E6DE92">
            <w:pPr>
              <w:pStyle w:val="12"/>
              <w:spacing w:before="0" w:beforeAutospacing="0" w:after="0" w:afterAutospacing="0"/>
              <w:jc w:val="center"/>
              <w:rPr>
                <w:color w:val="auto"/>
              </w:rPr>
            </w:pPr>
            <w:r>
              <w:rPr>
                <w:rFonts w:hint="eastAsia"/>
                <w:color w:val="auto"/>
              </w:rPr>
              <w:t>序号</w:t>
            </w:r>
          </w:p>
        </w:tc>
        <w:tc>
          <w:tcPr>
            <w:tcW w:w="8155" w:type="dxa"/>
            <w:shd w:val="clear" w:color="auto" w:fill="FFFFFF"/>
            <w:tcMar>
              <w:top w:w="0" w:type="dxa"/>
              <w:left w:w="105" w:type="dxa"/>
              <w:bottom w:w="0" w:type="dxa"/>
              <w:right w:w="105" w:type="dxa"/>
            </w:tcMar>
            <w:vAlign w:val="center"/>
          </w:tcPr>
          <w:p w14:paraId="78245A34">
            <w:pPr>
              <w:pStyle w:val="12"/>
              <w:spacing w:before="0" w:beforeAutospacing="0" w:after="0" w:afterAutospacing="0"/>
              <w:jc w:val="center"/>
              <w:rPr>
                <w:color w:val="auto"/>
              </w:rPr>
            </w:pPr>
            <w:r>
              <w:rPr>
                <w:rFonts w:hint="eastAsia"/>
                <w:color w:val="auto"/>
              </w:rPr>
              <w:t>编列内容</w:t>
            </w:r>
          </w:p>
        </w:tc>
      </w:tr>
      <w:tr w14:paraId="02393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560" w:type="dxa"/>
            <w:shd w:val="clear" w:color="auto" w:fill="FFFFFF"/>
            <w:tcMar>
              <w:top w:w="0" w:type="dxa"/>
              <w:left w:w="105" w:type="dxa"/>
              <w:bottom w:w="0" w:type="dxa"/>
              <w:right w:w="105" w:type="dxa"/>
            </w:tcMar>
            <w:vAlign w:val="center"/>
          </w:tcPr>
          <w:p w14:paraId="0E5654E7">
            <w:pPr>
              <w:pStyle w:val="12"/>
              <w:spacing w:before="0" w:beforeAutospacing="0" w:after="0" w:afterAutospacing="0"/>
              <w:jc w:val="center"/>
              <w:rPr>
                <w:color w:val="auto"/>
              </w:rPr>
            </w:pPr>
            <w:r>
              <w:rPr>
                <w:rFonts w:hint="eastAsia"/>
                <w:color w:val="auto"/>
              </w:rPr>
              <w:t>1</w:t>
            </w:r>
          </w:p>
        </w:tc>
        <w:tc>
          <w:tcPr>
            <w:tcW w:w="8155" w:type="dxa"/>
            <w:shd w:val="clear" w:color="auto" w:fill="FFFFFF"/>
            <w:tcMar>
              <w:top w:w="0" w:type="dxa"/>
              <w:left w:w="105" w:type="dxa"/>
              <w:bottom w:w="0" w:type="dxa"/>
              <w:right w:w="105" w:type="dxa"/>
            </w:tcMar>
            <w:vAlign w:val="center"/>
          </w:tcPr>
          <w:p w14:paraId="133462DA">
            <w:pPr>
              <w:adjustRightInd w:val="0"/>
              <w:snapToGrid w:val="0"/>
              <w:spacing w:line="314" w:lineRule="exact"/>
              <w:rPr>
                <w:rFonts w:ascii="宋体" w:hAnsi="宋体"/>
                <w:color w:val="auto"/>
                <w:sz w:val="24"/>
              </w:rPr>
            </w:pPr>
            <w:r>
              <w:rPr>
                <w:rFonts w:hint="eastAsia" w:ascii="宋体" w:hAnsi="宋体" w:cs="宋体"/>
                <w:color w:val="auto"/>
                <w:sz w:val="24"/>
              </w:rPr>
              <w:t>一、</w:t>
            </w:r>
            <w:r>
              <w:rPr>
                <w:rFonts w:hint="eastAsia" w:ascii="宋体" w:hAnsi="宋体"/>
                <w:color w:val="auto"/>
                <w:sz w:val="24"/>
              </w:rPr>
              <w:t>谈判供应商制作谈判响应文件出现以下情况时为无效标：</w:t>
            </w:r>
          </w:p>
          <w:p w14:paraId="421A6E52">
            <w:pPr>
              <w:adjustRightInd w:val="0"/>
              <w:snapToGrid w:val="0"/>
              <w:spacing w:line="314" w:lineRule="exact"/>
              <w:rPr>
                <w:rFonts w:ascii="宋体" w:hAnsi="宋体"/>
                <w:color w:val="auto"/>
                <w:sz w:val="24"/>
              </w:rPr>
            </w:pPr>
            <w:r>
              <w:rPr>
                <w:rFonts w:hint="eastAsia" w:ascii="宋体" w:hAnsi="宋体"/>
                <w:color w:val="auto"/>
                <w:sz w:val="24"/>
              </w:rPr>
              <w:t>(1)</w:t>
            </w:r>
            <w:r>
              <w:rPr>
                <w:rFonts w:hint="eastAsia" w:ascii="宋体" w:hAnsi="宋体"/>
                <w:color w:val="auto"/>
                <w:sz w:val="24"/>
              </w:rPr>
              <w:tab/>
            </w:r>
            <w:r>
              <w:rPr>
                <w:rFonts w:hint="eastAsia" w:ascii="宋体" w:hAnsi="宋体"/>
                <w:color w:val="auto"/>
                <w:sz w:val="24"/>
              </w:rPr>
              <w:t>未在谈判截止时间或规定时间前送达谈判响应文件的；</w:t>
            </w:r>
          </w:p>
          <w:p w14:paraId="2FB396F8">
            <w:pPr>
              <w:adjustRightInd w:val="0"/>
              <w:snapToGrid w:val="0"/>
              <w:spacing w:line="314" w:lineRule="exact"/>
              <w:rPr>
                <w:rFonts w:ascii="宋体" w:hAnsi="宋体"/>
                <w:color w:val="auto"/>
                <w:sz w:val="24"/>
              </w:rPr>
            </w:pPr>
            <w:r>
              <w:rPr>
                <w:rFonts w:hint="eastAsia" w:ascii="宋体" w:hAnsi="宋体"/>
                <w:color w:val="auto"/>
                <w:sz w:val="24"/>
              </w:rPr>
              <w:t>(2)</w:t>
            </w:r>
            <w:r>
              <w:rPr>
                <w:rFonts w:hint="eastAsia" w:ascii="宋体" w:hAnsi="宋体"/>
                <w:color w:val="auto"/>
                <w:sz w:val="24"/>
              </w:rPr>
              <w:tab/>
            </w:r>
            <w:r>
              <w:rPr>
                <w:rFonts w:hint="eastAsia" w:ascii="宋体" w:hAnsi="宋体"/>
                <w:color w:val="auto"/>
                <w:sz w:val="24"/>
              </w:rPr>
              <w:t>不具备谈判文件中规定的资格要求的；</w:t>
            </w:r>
          </w:p>
          <w:p w14:paraId="64DCDB54">
            <w:pPr>
              <w:adjustRightInd w:val="0"/>
              <w:snapToGrid w:val="0"/>
              <w:spacing w:line="314" w:lineRule="exact"/>
              <w:rPr>
                <w:rFonts w:ascii="宋体" w:hAnsi="宋体"/>
                <w:color w:val="auto"/>
                <w:sz w:val="24"/>
              </w:rPr>
            </w:pPr>
            <w:r>
              <w:rPr>
                <w:rFonts w:hint="eastAsia" w:ascii="宋体" w:hAnsi="宋体"/>
                <w:color w:val="auto"/>
                <w:sz w:val="24"/>
              </w:rPr>
              <w:t>(3)</w:t>
            </w:r>
            <w:r>
              <w:rPr>
                <w:rFonts w:hint="eastAsia" w:ascii="宋体" w:hAnsi="宋体"/>
                <w:color w:val="auto"/>
                <w:sz w:val="24"/>
              </w:rPr>
              <w:tab/>
            </w:r>
            <w:r>
              <w:rPr>
                <w:rFonts w:hint="eastAsia" w:ascii="宋体" w:hAnsi="宋体"/>
                <w:color w:val="auto"/>
                <w:sz w:val="24"/>
              </w:rPr>
              <w:t>未按谈判文件的规定提交谈判保证金的；</w:t>
            </w:r>
          </w:p>
          <w:p w14:paraId="24B90003">
            <w:pPr>
              <w:adjustRightInd w:val="0"/>
              <w:snapToGrid w:val="0"/>
              <w:spacing w:line="314" w:lineRule="exact"/>
              <w:rPr>
                <w:rFonts w:ascii="宋体" w:hAnsi="宋体"/>
                <w:color w:val="auto"/>
                <w:sz w:val="24"/>
              </w:rPr>
            </w:pPr>
            <w:r>
              <w:rPr>
                <w:rFonts w:hint="eastAsia" w:ascii="宋体" w:hAnsi="宋体"/>
                <w:color w:val="auto"/>
                <w:sz w:val="24"/>
              </w:rPr>
              <w:t>(4)</w:t>
            </w:r>
            <w:r>
              <w:rPr>
                <w:rFonts w:hint="eastAsia" w:ascii="宋体" w:hAnsi="宋体"/>
                <w:color w:val="auto"/>
                <w:sz w:val="24"/>
              </w:rPr>
              <w:tab/>
            </w:r>
            <w:r>
              <w:rPr>
                <w:rFonts w:hint="eastAsia" w:ascii="宋体" w:hAnsi="宋体"/>
                <w:color w:val="auto"/>
                <w:sz w:val="24"/>
              </w:rPr>
              <w:t>谈判响应文件未按谈判文件要求及格式签署、盖章的；</w:t>
            </w:r>
          </w:p>
          <w:p w14:paraId="31750021">
            <w:pPr>
              <w:adjustRightInd w:val="0"/>
              <w:snapToGrid w:val="0"/>
              <w:spacing w:line="314" w:lineRule="exact"/>
              <w:rPr>
                <w:rFonts w:ascii="宋体" w:hAnsi="宋体"/>
                <w:color w:val="auto"/>
                <w:sz w:val="24"/>
              </w:rPr>
            </w:pPr>
            <w:r>
              <w:rPr>
                <w:rFonts w:hint="eastAsia" w:ascii="宋体" w:hAnsi="宋体"/>
                <w:color w:val="auto"/>
                <w:sz w:val="24"/>
              </w:rPr>
              <w:t>(5)</w:t>
            </w:r>
            <w:r>
              <w:rPr>
                <w:rFonts w:hint="eastAsia" w:ascii="宋体" w:hAnsi="宋体"/>
                <w:color w:val="auto"/>
                <w:sz w:val="24"/>
              </w:rPr>
              <w:tab/>
            </w:r>
            <w:r>
              <w:rPr>
                <w:rFonts w:hint="eastAsia" w:ascii="宋体" w:hAnsi="宋体"/>
                <w:color w:val="auto"/>
                <w:sz w:val="24"/>
              </w:rPr>
              <w:t>谈判报价超过谈判文件中规定的预算金额或者最高限价的；</w:t>
            </w:r>
          </w:p>
          <w:p w14:paraId="0A58CDEC">
            <w:pPr>
              <w:adjustRightInd w:val="0"/>
              <w:snapToGrid w:val="0"/>
              <w:spacing w:line="314" w:lineRule="exact"/>
              <w:rPr>
                <w:rFonts w:ascii="宋体" w:hAnsi="宋体"/>
                <w:color w:val="auto"/>
                <w:sz w:val="24"/>
              </w:rPr>
            </w:pPr>
            <w:r>
              <w:rPr>
                <w:rFonts w:hint="eastAsia" w:ascii="宋体" w:hAnsi="宋体"/>
                <w:color w:val="auto"/>
                <w:sz w:val="24"/>
              </w:rPr>
              <w:t>(6)</w:t>
            </w:r>
            <w:r>
              <w:rPr>
                <w:rFonts w:hint="eastAsia" w:ascii="宋体" w:hAnsi="宋体"/>
                <w:color w:val="auto"/>
                <w:sz w:val="24"/>
              </w:rPr>
              <w:tab/>
            </w:r>
            <w:r>
              <w:rPr>
                <w:rFonts w:hint="eastAsia" w:ascii="宋体" w:hAnsi="宋体"/>
                <w:color w:val="auto"/>
                <w:sz w:val="24"/>
              </w:rPr>
              <w:t>谈判响应文件含有采购人不能接受的附加条件的；</w:t>
            </w:r>
          </w:p>
          <w:p w14:paraId="6FC95510">
            <w:pPr>
              <w:adjustRightInd w:val="0"/>
              <w:snapToGrid w:val="0"/>
              <w:spacing w:line="314" w:lineRule="exact"/>
              <w:rPr>
                <w:rFonts w:ascii="宋体" w:hAnsi="宋体"/>
                <w:color w:val="auto"/>
                <w:sz w:val="24"/>
              </w:rPr>
            </w:pPr>
            <w:r>
              <w:rPr>
                <w:rFonts w:hint="eastAsia" w:ascii="宋体" w:hAnsi="宋体"/>
                <w:color w:val="auto"/>
                <w:sz w:val="24"/>
              </w:rPr>
              <w:t>(7)</w:t>
            </w:r>
            <w:r>
              <w:rPr>
                <w:rFonts w:hint="eastAsia" w:ascii="宋体" w:hAnsi="宋体"/>
                <w:color w:val="auto"/>
                <w:sz w:val="24"/>
              </w:rPr>
              <w:tab/>
            </w:r>
            <w:r>
              <w:rPr>
                <w:rFonts w:hint="eastAsia" w:ascii="宋体" w:hAnsi="宋体"/>
                <w:color w:val="auto"/>
                <w:sz w:val="24"/>
              </w:rPr>
              <w:t>谈判有效期不满足谈判文件要求的；</w:t>
            </w:r>
          </w:p>
          <w:p w14:paraId="2062831F">
            <w:pPr>
              <w:adjustRightInd w:val="0"/>
              <w:snapToGrid w:val="0"/>
              <w:spacing w:line="314" w:lineRule="exact"/>
              <w:rPr>
                <w:rFonts w:ascii="宋体" w:hAnsi="宋体"/>
                <w:color w:val="auto"/>
                <w:sz w:val="24"/>
              </w:rPr>
            </w:pPr>
            <w:r>
              <w:rPr>
                <w:rFonts w:hint="eastAsia" w:ascii="宋体" w:hAnsi="宋体"/>
                <w:color w:val="auto"/>
                <w:sz w:val="24"/>
              </w:rPr>
              <w:t>(8)未按照谈判文件的规定进行密封、标记的；</w:t>
            </w:r>
          </w:p>
          <w:p w14:paraId="5C17CD4C">
            <w:pPr>
              <w:adjustRightInd w:val="0"/>
              <w:snapToGrid w:val="0"/>
              <w:spacing w:line="314" w:lineRule="exact"/>
              <w:rPr>
                <w:rFonts w:ascii="宋体" w:hAnsi="宋体"/>
                <w:color w:val="auto"/>
                <w:sz w:val="24"/>
              </w:rPr>
            </w:pPr>
            <w:r>
              <w:rPr>
                <w:rFonts w:hint="eastAsia" w:ascii="宋体" w:hAnsi="宋体"/>
                <w:color w:val="auto"/>
                <w:sz w:val="24"/>
              </w:rPr>
              <w:t>(9)</w:t>
            </w:r>
            <w:r>
              <w:rPr>
                <w:rFonts w:hint="eastAsia" w:ascii="宋体" w:hAnsi="宋体"/>
                <w:color w:val="auto"/>
                <w:sz w:val="24"/>
              </w:rPr>
              <w:tab/>
            </w:r>
            <w:r>
              <w:rPr>
                <w:rFonts w:hint="eastAsia" w:ascii="宋体" w:hAnsi="宋体"/>
                <w:color w:val="auto"/>
                <w:sz w:val="24"/>
              </w:rPr>
              <w:t>谈判供应商提交的是可选择的报价；未按谈判文件的规定对谈判进行分项明细报价；</w:t>
            </w:r>
          </w:p>
          <w:p w14:paraId="098614D5">
            <w:pPr>
              <w:adjustRightInd w:val="0"/>
              <w:snapToGrid w:val="0"/>
              <w:spacing w:line="314" w:lineRule="exact"/>
              <w:rPr>
                <w:rFonts w:ascii="宋体" w:hAnsi="宋体"/>
                <w:color w:val="auto"/>
                <w:sz w:val="24"/>
              </w:rPr>
            </w:pPr>
            <w:r>
              <w:rPr>
                <w:rFonts w:hint="eastAsia" w:ascii="宋体" w:hAnsi="宋体"/>
                <w:color w:val="auto"/>
                <w:sz w:val="24"/>
              </w:rPr>
              <w:t>(10) 交货期、交货地点、付款方式、质保期等不满足谈判文件要求的；</w:t>
            </w:r>
          </w:p>
          <w:p w14:paraId="1328E6F4">
            <w:pPr>
              <w:adjustRightInd w:val="0"/>
              <w:snapToGrid w:val="0"/>
              <w:spacing w:line="314" w:lineRule="exact"/>
              <w:rPr>
                <w:rFonts w:ascii="宋体" w:hAnsi="宋体"/>
                <w:color w:val="auto"/>
                <w:sz w:val="24"/>
              </w:rPr>
            </w:pPr>
            <w:r>
              <w:rPr>
                <w:rFonts w:hint="eastAsia" w:ascii="宋体" w:hAnsi="宋体"/>
                <w:color w:val="auto"/>
                <w:sz w:val="24"/>
              </w:rPr>
              <w:t xml:space="preserve">(11) </w:t>
            </w:r>
            <w:r>
              <w:rPr>
                <w:rFonts w:hint="eastAsia" w:ascii="宋体" w:hAnsi="宋体"/>
                <w:bCs/>
                <w:color w:val="auto"/>
                <w:spacing w:val="4"/>
                <w:sz w:val="24"/>
              </w:rPr>
              <w:t>投标文件未胶装成册并加盖骑缝章的；</w:t>
            </w:r>
            <w:r>
              <w:rPr>
                <w:rFonts w:hint="eastAsia" w:ascii="宋体" w:hAnsi="宋体"/>
                <w:color w:val="auto"/>
                <w:sz w:val="24"/>
              </w:rPr>
              <w:t>谈判响应文件组成及份数不符合谈判文件要求的；</w:t>
            </w:r>
          </w:p>
          <w:p w14:paraId="1D113C09">
            <w:pPr>
              <w:adjustRightInd w:val="0"/>
              <w:snapToGrid w:val="0"/>
              <w:spacing w:line="314" w:lineRule="exact"/>
              <w:rPr>
                <w:rFonts w:ascii="宋体" w:hAnsi="宋体"/>
                <w:color w:val="auto"/>
                <w:sz w:val="24"/>
              </w:rPr>
            </w:pPr>
            <w:r>
              <w:rPr>
                <w:rFonts w:hint="eastAsia" w:ascii="宋体" w:hAnsi="宋体"/>
                <w:color w:val="auto"/>
                <w:sz w:val="24"/>
              </w:rPr>
              <w:t>(12) 谈判响应文件中提供虚假或失实资料的；</w:t>
            </w:r>
          </w:p>
          <w:p w14:paraId="315CBE80">
            <w:pPr>
              <w:adjustRightInd w:val="0"/>
              <w:snapToGrid w:val="0"/>
              <w:spacing w:line="314" w:lineRule="exact"/>
              <w:rPr>
                <w:rFonts w:ascii="宋体" w:hAnsi="宋体"/>
                <w:color w:val="auto"/>
                <w:sz w:val="24"/>
              </w:rPr>
            </w:pPr>
            <w:r>
              <w:rPr>
                <w:rFonts w:hint="eastAsia" w:ascii="宋体" w:hAnsi="宋体"/>
                <w:color w:val="auto"/>
                <w:sz w:val="24"/>
              </w:rPr>
              <w:t>(13) 谈判供应商的报价明显低于其他报价，使得其谈判报价可能低于其个别成本的，有可能影响商品质量或不能诚信履约的，又不能合理说明原因或不能提供相关证明材料的；</w:t>
            </w:r>
          </w:p>
          <w:p w14:paraId="68EBAA9E">
            <w:pPr>
              <w:adjustRightInd w:val="0"/>
              <w:snapToGrid w:val="0"/>
              <w:spacing w:line="314" w:lineRule="exact"/>
              <w:rPr>
                <w:rFonts w:ascii="宋体" w:hAnsi="宋体"/>
                <w:color w:val="auto"/>
                <w:sz w:val="24"/>
              </w:rPr>
            </w:pPr>
            <w:r>
              <w:rPr>
                <w:rFonts w:hint="eastAsia" w:ascii="宋体" w:hAnsi="宋体"/>
                <w:color w:val="auto"/>
                <w:sz w:val="24"/>
              </w:rPr>
              <w:t>(14) 谈判供应商存在串通谈判行为的；</w:t>
            </w:r>
          </w:p>
          <w:p w14:paraId="67B15B9F">
            <w:pPr>
              <w:adjustRightInd w:val="0"/>
              <w:snapToGrid w:val="0"/>
              <w:spacing w:line="314" w:lineRule="exact"/>
              <w:rPr>
                <w:rFonts w:ascii="宋体" w:hAnsi="宋体"/>
                <w:color w:val="auto"/>
                <w:sz w:val="24"/>
              </w:rPr>
            </w:pPr>
            <w:r>
              <w:rPr>
                <w:rFonts w:hint="eastAsia" w:ascii="宋体" w:hAnsi="宋体"/>
                <w:color w:val="auto"/>
                <w:sz w:val="24"/>
              </w:rPr>
              <w:t>(15) 无提供样品、样品提供不全或样品经评标委员会评审未实质性响应谈判文件的技术要求的（在要求提供样品情况下）；</w:t>
            </w:r>
          </w:p>
          <w:p w14:paraId="6D0F3443">
            <w:pPr>
              <w:adjustRightInd w:val="0"/>
              <w:snapToGrid w:val="0"/>
              <w:spacing w:line="314" w:lineRule="exact"/>
              <w:rPr>
                <w:rFonts w:ascii="宋体" w:hAnsi="宋体"/>
                <w:color w:val="auto"/>
                <w:sz w:val="24"/>
              </w:rPr>
            </w:pPr>
            <w:r>
              <w:rPr>
                <w:rFonts w:hint="eastAsia" w:ascii="宋体" w:hAnsi="宋体"/>
                <w:color w:val="auto"/>
                <w:sz w:val="24"/>
              </w:rPr>
              <w:t>(16) 联合体投标未附联合体各方共同投标协议原件的，联合体投标各方权利和义务规定不明确的，未明确哪一方参与商务部分的评标的，联合体各方未按规定有效签字盖章的；(若有)</w:t>
            </w:r>
          </w:p>
          <w:p w14:paraId="4A954B68">
            <w:pPr>
              <w:adjustRightInd w:val="0"/>
              <w:snapToGrid w:val="0"/>
              <w:spacing w:line="314" w:lineRule="exact"/>
              <w:rPr>
                <w:rFonts w:ascii="宋体" w:hAnsi="宋体"/>
                <w:color w:val="auto"/>
                <w:sz w:val="24"/>
              </w:rPr>
            </w:pPr>
            <w:r>
              <w:rPr>
                <w:rFonts w:hint="eastAsia" w:ascii="宋体" w:hAnsi="宋体"/>
                <w:color w:val="auto"/>
                <w:sz w:val="24"/>
              </w:rPr>
              <w:t>(17) 不符合招标文件中规定的其它实质性条款的；</w:t>
            </w:r>
          </w:p>
          <w:p w14:paraId="51F93E1A">
            <w:pPr>
              <w:adjustRightInd w:val="0"/>
              <w:snapToGrid w:val="0"/>
              <w:spacing w:line="314" w:lineRule="exact"/>
              <w:rPr>
                <w:rFonts w:ascii="宋体" w:hAnsi="宋体"/>
                <w:color w:val="auto"/>
                <w:sz w:val="24"/>
              </w:rPr>
            </w:pPr>
            <w:r>
              <w:rPr>
                <w:rFonts w:hint="eastAsia" w:ascii="宋体" w:hAnsi="宋体"/>
                <w:color w:val="auto"/>
                <w:sz w:val="24"/>
              </w:rPr>
              <w:t>(18) 法律、法规和谈判文件规定的其它无效情形。</w:t>
            </w:r>
          </w:p>
          <w:p w14:paraId="6E011192">
            <w:pPr>
              <w:adjustRightInd w:val="0"/>
              <w:snapToGrid w:val="0"/>
              <w:spacing w:line="314" w:lineRule="exact"/>
              <w:rPr>
                <w:rFonts w:ascii="宋体" w:hAnsi="宋体"/>
                <w:color w:val="auto"/>
                <w:sz w:val="24"/>
              </w:rPr>
            </w:pPr>
            <w:r>
              <w:rPr>
                <w:rFonts w:hint="eastAsia" w:ascii="宋体" w:hAnsi="宋体"/>
                <w:color w:val="auto"/>
                <w:sz w:val="24"/>
              </w:rPr>
              <w:t>二、出现下列情形之一的，本次谈判采购应予废标：</w:t>
            </w:r>
          </w:p>
          <w:p w14:paraId="0E3F8B0A">
            <w:pPr>
              <w:adjustRightInd w:val="0"/>
              <w:snapToGrid w:val="0"/>
              <w:spacing w:line="314" w:lineRule="exact"/>
              <w:rPr>
                <w:rFonts w:ascii="宋体" w:hAnsi="宋体"/>
                <w:color w:val="auto"/>
                <w:sz w:val="24"/>
              </w:rPr>
            </w:pPr>
            <w:r>
              <w:rPr>
                <w:rFonts w:hint="eastAsia" w:ascii="宋体" w:hAnsi="宋体"/>
                <w:color w:val="auto"/>
                <w:sz w:val="24"/>
              </w:rPr>
              <w:t>(1) 符合专业条件的谈判供应商或者对谈判文件作实质性响应的谈判供应商不足</w:t>
            </w:r>
            <w:r>
              <w:rPr>
                <w:rFonts w:hint="eastAsia" w:ascii="宋体" w:hAnsi="宋体"/>
                <w:color w:val="auto"/>
                <w:sz w:val="24"/>
                <w:lang w:val="en-US" w:eastAsia="zh-CN"/>
              </w:rPr>
              <w:t>三</w:t>
            </w:r>
            <w:r>
              <w:rPr>
                <w:rFonts w:hint="eastAsia" w:ascii="宋体" w:hAnsi="宋体"/>
                <w:color w:val="auto"/>
                <w:sz w:val="24"/>
              </w:rPr>
              <w:t>家的；</w:t>
            </w:r>
          </w:p>
          <w:p w14:paraId="53AFED5C">
            <w:pPr>
              <w:adjustRightInd w:val="0"/>
              <w:snapToGrid w:val="0"/>
              <w:spacing w:line="314" w:lineRule="exact"/>
              <w:rPr>
                <w:rFonts w:ascii="宋体" w:hAnsi="宋体"/>
                <w:color w:val="auto"/>
                <w:sz w:val="24"/>
              </w:rPr>
            </w:pPr>
            <w:r>
              <w:rPr>
                <w:rFonts w:hint="eastAsia" w:ascii="宋体" w:hAnsi="宋体"/>
                <w:color w:val="auto"/>
                <w:sz w:val="24"/>
              </w:rPr>
              <w:t>(2) 出现影响采购公正的违法、违规行为的；</w:t>
            </w:r>
          </w:p>
          <w:p w14:paraId="550407CA">
            <w:pPr>
              <w:adjustRightInd w:val="0"/>
              <w:snapToGrid w:val="0"/>
              <w:spacing w:line="314" w:lineRule="exact"/>
              <w:rPr>
                <w:rFonts w:ascii="宋体" w:hAnsi="宋体"/>
                <w:color w:val="auto"/>
                <w:sz w:val="24"/>
              </w:rPr>
            </w:pPr>
            <w:r>
              <w:rPr>
                <w:rFonts w:hint="eastAsia" w:ascii="宋体" w:hAnsi="宋体"/>
                <w:color w:val="auto"/>
                <w:sz w:val="24"/>
              </w:rPr>
              <w:t>(3) 谈判供应商的报价均超过了采购预算，采购人不能支付的；</w:t>
            </w:r>
          </w:p>
          <w:p w14:paraId="174B4B78">
            <w:pPr>
              <w:adjustRightInd w:val="0"/>
              <w:snapToGrid w:val="0"/>
              <w:spacing w:line="314" w:lineRule="exact"/>
              <w:rPr>
                <w:rFonts w:ascii="宋体" w:hAnsi="宋体"/>
                <w:color w:val="auto"/>
                <w:sz w:val="24"/>
              </w:rPr>
            </w:pPr>
            <w:r>
              <w:rPr>
                <w:rFonts w:hint="eastAsia" w:ascii="宋体" w:hAnsi="宋体"/>
                <w:color w:val="auto"/>
                <w:sz w:val="24"/>
              </w:rPr>
              <w:t>(4) 因重大变故，采购任务取消的。</w:t>
            </w:r>
          </w:p>
        </w:tc>
      </w:tr>
    </w:tbl>
    <w:p w14:paraId="01BDF90E">
      <w:pPr>
        <w:widowControl/>
        <w:jc w:val="left"/>
        <w:rPr>
          <w:rFonts w:ascii="宋体" w:hAnsi="宋体" w:cs="宋体"/>
          <w:b/>
          <w:bCs/>
          <w:color w:val="auto"/>
          <w:kern w:val="0"/>
          <w:sz w:val="24"/>
        </w:rPr>
      </w:pPr>
    </w:p>
    <w:p w14:paraId="747645C2">
      <w:pPr>
        <w:widowControl/>
        <w:jc w:val="left"/>
        <w:rPr>
          <w:rFonts w:ascii="宋体" w:hAnsi="宋体" w:cs="宋体"/>
          <w:b/>
          <w:bCs/>
          <w:color w:val="auto"/>
          <w:kern w:val="0"/>
          <w:sz w:val="24"/>
        </w:rPr>
      </w:pPr>
    </w:p>
    <w:p w14:paraId="68734A64">
      <w:pPr>
        <w:widowControl/>
        <w:jc w:val="left"/>
        <w:rPr>
          <w:rFonts w:ascii="宋体" w:hAnsi="宋体" w:cs="宋体"/>
          <w:b/>
          <w:bCs/>
          <w:color w:val="auto"/>
          <w:kern w:val="0"/>
          <w:sz w:val="24"/>
        </w:rPr>
      </w:pPr>
    </w:p>
    <w:p w14:paraId="284AAF0C">
      <w:pPr>
        <w:widowControl/>
        <w:jc w:val="left"/>
        <w:rPr>
          <w:rFonts w:ascii="宋体" w:hAnsi="宋体" w:cs="宋体"/>
          <w:b/>
          <w:bCs/>
          <w:color w:val="auto"/>
          <w:kern w:val="0"/>
          <w:sz w:val="24"/>
        </w:rPr>
      </w:pPr>
    </w:p>
    <w:p w14:paraId="78676FD2">
      <w:pPr>
        <w:widowControl/>
        <w:jc w:val="left"/>
        <w:rPr>
          <w:rFonts w:ascii="宋体" w:hAnsi="宋体" w:cs="宋体"/>
          <w:b/>
          <w:bCs/>
          <w:color w:val="auto"/>
          <w:kern w:val="0"/>
          <w:sz w:val="24"/>
        </w:rPr>
      </w:pPr>
    </w:p>
    <w:p w14:paraId="0DB1D915">
      <w:pPr>
        <w:widowControl/>
        <w:jc w:val="left"/>
        <w:rPr>
          <w:rFonts w:ascii="宋体" w:hAnsi="宋体" w:cs="宋体"/>
          <w:b/>
          <w:bCs/>
          <w:color w:val="auto"/>
          <w:kern w:val="0"/>
          <w:sz w:val="24"/>
        </w:rPr>
      </w:pPr>
    </w:p>
    <w:p w14:paraId="176B1884">
      <w:pPr>
        <w:widowControl/>
        <w:jc w:val="left"/>
        <w:rPr>
          <w:rFonts w:ascii="宋体" w:hAnsi="宋体" w:cs="宋体"/>
          <w:b/>
          <w:bCs/>
          <w:color w:val="auto"/>
          <w:kern w:val="0"/>
          <w:sz w:val="24"/>
        </w:rPr>
      </w:pPr>
    </w:p>
    <w:p w14:paraId="3DDB6EBC">
      <w:pPr>
        <w:widowControl/>
        <w:jc w:val="left"/>
        <w:rPr>
          <w:rFonts w:ascii="宋体" w:hAnsi="宋体" w:cs="宋体"/>
          <w:b/>
          <w:bCs/>
          <w:color w:val="auto"/>
          <w:kern w:val="0"/>
          <w:sz w:val="24"/>
        </w:rPr>
      </w:pPr>
    </w:p>
    <w:p w14:paraId="381C3422">
      <w:pPr>
        <w:widowControl/>
        <w:jc w:val="left"/>
        <w:rPr>
          <w:rFonts w:ascii="宋体" w:hAnsi="宋体" w:cs="宋体"/>
          <w:b/>
          <w:bCs/>
          <w:color w:val="auto"/>
          <w:kern w:val="0"/>
          <w:sz w:val="24"/>
        </w:rPr>
      </w:pPr>
    </w:p>
    <w:p w14:paraId="5F3B80BB">
      <w:pPr>
        <w:widowControl/>
        <w:jc w:val="left"/>
        <w:rPr>
          <w:rFonts w:ascii="宋体" w:hAnsi="宋体" w:cs="宋体"/>
          <w:b/>
          <w:bCs/>
          <w:color w:val="auto"/>
          <w:kern w:val="0"/>
          <w:sz w:val="24"/>
        </w:rPr>
      </w:pPr>
    </w:p>
    <w:p w14:paraId="6A3BA2F2">
      <w:pPr>
        <w:widowControl/>
        <w:jc w:val="left"/>
        <w:rPr>
          <w:rFonts w:ascii="宋体" w:hAnsi="宋体" w:cs="宋体"/>
          <w:b/>
          <w:bCs/>
          <w:color w:val="auto"/>
          <w:kern w:val="0"/>
          <w:sz w:val="24"/>
        </w:rPr>
      </w:pPr>
    </w:p>
    <w:p w14:paraId="11EF35AA">
      <w:pPr>
        <w:widowControl/>
        <w:jc w:val="left"/>
        <w:rPr>
          <w:rFonts w:ascii="宋体" w:hAnsi="宋体" w:cs="宋体"/>
          <w:b/>
          <w:bCs/>
          <w:color w:val="auto"/>
          <w:kern w:val="0"/>
          <w:sz w:val="24"/>
        </w:rPr>
      </w:pPr>
    </w:p>
    <w:p w14:paraId="20B6680D">
      <w:pPr>
        <w:widowControl/>
        <w:jc w:val="left"/>
        <w:rPr>
          <w:rFonts w:ascii="宋体" w:hAnsi="宋体" w:cs="宋体"/>
          <w:b/>
          <w:bCs/>
          <w:color w:val="auto"/>
          <w:kern w:val="0"/>
          <w:sz w:val="24"/>
        </w:rPr>
      </w:pPr>
    </w:p>
    <w:p w14:paraId="58C7A272">
      <w:pPr>
        <w:widowControl/>
        <w:jc w:val="left"/>
        <w:rPr>
          <w:rFonts w:ascii="宋体" w:hAnsi="宋体" w:cs="宋体"/>
          <w:b/>
          <w:bCs/>
          <w:color w:val="auto"/>
          <w:kern w:val="0"/>
          <w:sz w:val="24"/>
        </w:rPr>
      </w:pPr>
    </w:p>
    <w:p w14:paraId="5DDF5CCD">
      <w:pPr>
        <w:widowControl/>
        <w:jc w:val="left"/>
        <w:rPr>
          <w:rFonts w:ascii="宋体" w:hAnsi="宋体" w:cs="宋体"/>
          <w:b/>
          <w:bCs/>
          <w:color w:val="auto"/>
          <w:kern w:val="0"/>
          <w:sz w:val="24"/>
        </w:rPr>
      </w:pPr>
    </w:p>
    <w:p w14:paraId="2CDD83CF">
      <w:pPr>
        <w:widowControl/>
        <w:jc w:val="left"/>
        <w:rPr>
          <w:rFonts w:ascii="宋体" w:hAnsi="宋体" w:cs="宋体"/>
          <w:color w:val="auto"/>
          <w:kern w:val="0"/>
          <w:sz w:val="24"/>
        </w:rPr>
      </w:pPr>
      <w:r>
        <w:rPr>
          <w:rFonts w:ascii="宋体" w:hAnsi="宋体" w:cs="宋体"/>
          <w:b/>
          <w:bCs/>
          <w:color w:val="auto"/>
          <w:kern w:val="0"/>
          <w:sz w:val="24"/>
        </w:rPr>
        <w:t>专项附件：      </w:t>
      </w:r>
      <w:r>
        <w:rPr>
          <w:rFonts w:hint="eastAsia" w:ascii="宋体" w:hAnsi="宋体" w:cs="宋体"/>
          <w:b/>
          <w:bCs/>
          <w:color w:val="auto"/>
          <w:kern w:val="0"/>
          <w:sz w:val="24"/>
          <w:lang w:val="en-US" w:eastAsia="zh-CN"/>
        </w:rPr>
        <w:t xml:space="preserve">   </w:t>
      </w:r>
      <w:r>
        <w:rPr>
          <w:rFonts w:ascii="宋体" w:hAnsi="宋体" w:cs="宋体"/>
          <w:b/>
          <w:bCs/>
          <w:color w:val="auto"/>
          <w:kern w:val="0"/>
          <w:sz w:val="24"/>
        </w:rPr>
        <w:t>评定成交的标准和方法</w:t>
      </w:r>
    </w:p>
    <w:p w14:paraId="43412360">
      <w:pPr>
        <w:widowControl/>
        <w:spacing w:before="75" w:after="75" w:line="435" w:lineRule="atLeast"/>
        <w:jc w:val="center"/>
        <w:rPr>
          <w:rFonts w:ascii="宋体" w:hAnsi="宋体" w:cs="宋体"/>
          <w:color w:val="auto"/>
          <w:kern w:val="0"/>
          <w:sz w:val="24"/>
        </w:rPr>
      </w:pPr>
      <w:r>
        <w:rPr>
          <w:rFonts w:ascii="宋体" w:hAnsi="宋体" w:cs="宋体"/>
          <w:b/>
          <w:bCs/>
          <w:color w:val="auto"/>
          <w:kern w:val="0"/>
          <w:sz w:val="24"/>
        </w:rPr>
        <w:t> </w:t>
      </w:r>
    </w:p>
    <w:p w14:paraId="6981BF79">
      <w:pPr>
        <w:widowControl/>
        <w:spacing w:before="75" w:after="75" w:line="405" w:lineRule="atLeast"/>
        <w:jc w:val="center"/>
        <w:rPr>
          <w:rFonts w:ascii="宋体" w:hAnsi="宋体" w:cs="宋体"/>
          <w:color w:val="auto"/>
          <w:kern w:val="0"/>
          <w:sz w:val="24"/>
        </w:rPr>
      </w:pPr>
      <w:r>
        <w:rPr>
          <w:rFonts w:ascii="宋体" w:hAnsi="宋体" w:cs="宋体"/>
          <w:b/>
          <w:bCs/>
          <w:color w:val="auto"/>
          <w:kern w:val="0"/>
          <w:sz w:val="24"/>
        </w:rPr>
        <w:t>一、谈判小组</w:t>
      </w:r>
    </w:p>
    <w:p w14:paraId="5A618568">
      <w:pPr>
        <w:widowControl/>
        <w:spacing w:before="75" w:after="75" w:line="405" w:lineRule="atLeast"/>
        <w:jc w:val="left"/>
        <w:rPr>
          <w:rFonts w:ascii="宋体" w:hAnsi="宋体" w:cs="宋体"/>
          <w:color w:val="auto"/>
          <w:kern w:val="0"/>
          <w:sz w:val="24"/>
        </w:rPr>
      </w:pPr>
      <w:r>
        <w:rPr>
          <w:rFonts w:ascii="宋体" w:hAnsi="宋体" w:cs="宋体"/>
          <w:color w:val="auto"/>
          <w:kern w:val="0"/>
          <w:sz w:val="24"/>
        </w:rPr>
        <w:t> </w:t>
      </w:r>
    </w:p>
    <w:p w14:paraId="0B1DB589">
      <w:pPr>
        <w:widowControl/>
        <w:spacing w:before="75" w:after="75" w:line="405" w:lineRule="atLeast"/>
        <w:ind w:firstLine="240"/>
        <w:jc w:val="left"/>
        <w:rPr>
          <w:rFonts w:ascii="宋体" w:hAnsi="宋体" w:cs="宋体"/>
          <w:color w:val="auto"/>
          <w:kern w:val="0"/>
          <w:sz w:val="24"/>
        </w:rPr>
      </w:pPr>
      <w:r>
        <w:rPr>
          <w:rFonts w:ascii="宋体" w:hAnsi="宋体" w:cs="宋体"/>
          <w:color w:val="auto"/>
          <w:kern w:val="0"/>
          <w:sz w:val="24"/>
        </w:rPr>
        <w:t>1.1采购人根据项目的特点依法组建谈判小组。</w:t>
      </w:r>
    </w:p>
    <w:p w14:paraId="40242331">
      <w:pPr>
        <w:widowControl/>
        <w:spacing w:before="75" w:after="75" w:line="405" w:lineRule="atLeast"/>
        <w:ind w:firstLine="240"/>
        <w:jc w:val="left"/>
        <w:rPr>
          <w:rFonts w:ascii="宋体" w:hAnsi="宋体" w:cs="宋体"/>
          <w:color w:val="auto"/>
          <w:kern w:val="0"/>
          <w:sz w:val="24"/>
        </w:rPr>
      </w:pPr>
      <w:r>
        <w:rPr>
          <w:rFonts w:ascii="宋体" w:hAnsi="宋体" w:cs="宋体"/>
          <w:color w:val="auto"/>
          <w:kern w:val="0"/>
          <w:sz w:val="24"/>
        </w:rPr>
        <w:t>1.2谈判小组由采购人代表和评审专家两部分（以下简称“评委”）共</w:t>
      </w:r>
      <w:r>
        <w:rPr>
          <w:rFonts w:ascii="宋体" w:hAnsi="宋体" w:cs="宋体"/>
          <w:color w:val="auto"/>
          <w:kern w:val="0"/>
          <w:sz w:val="24"/>
          <w:u w:val="single"/>
        </w:rPr>
        <w:t>3</w:t>
      </w:r>
      <w:r>
        <w:rPr>
          <w:rFonts w:ascii="宋体" w:hAnsi="宋体" w:cs="宋体"/>
          <w:color w:val="auto"/>
          <w:kern w:val="0"/>
          <w:sz w:val="24"/>
        </w:rPr>
        <w:t>人组成。达到公开招标数额标准的货物或者服务采购项目，或者达到招标规模标准的政府采购工程，竞争性谈判小组应当由</w:t>
      </w:r>
      <w:r>
        <w:rPr>
          <w:rFonts w:hint="eastAsia" w:ascii="宋体" w:hAnsi="宋体" w:cs="宋体"/>
          <w:color w:val="auto"/>
          <w:kern w:val="0"/>
          <w:sz w:val="24"/>
          <w:lang w:val="en-US" w:eastAsia="zh-CN"/>
        </w:rPr>
        <w:t>5</w:t>
      </w:r>
      <w:r>
        <w:rPr>
          <w:rFonts w:ascii="宋体" w:hAnsi="宋体" w:cs="宋体"/>
          <w:color w:val="auto"/>
          <w:kern w:val="0"/>
          <w:sz w:val="24"/>
        </w:rPr>
        <w:t>人或以上单数组成。</w:t>
      </w:r>
    </w:p>
    <w:p w14:paraId="26F29E54">
      <w:pPr>
        <w:widowControl/>
        <w:spacing w:before="75" w:after="75" w:line="405" w:lineRule="atLeast"/>
        <w:ind w:firstLine="240"/>
        <w:jc w:val="left"/>
        <w:rPr>
          <w:rFonts w:ascii="宋体" w:hAnsi="宋体" w:cs="宋体"/>
          <w:color w:val="auto"/>
          <w:kern w:val="0"/>
          <w:sz w:val="24"/>
        </w:rPr>
      </w:pPr>
      <w:r>
        <w:rPr>
          <w:rFonts w:ascii="宋体" w:hAnsi="宋体" w:cs="宋体"/>
          <w:color w:val="auto"/>
          <w:kern w:val="0"/>
          <w:sz w:val="24"/>
        </w:rPr>
        <w:t>1.3谈判小组负责具体谈判和评审事务，并按照下列原则依法独立履行有关职责：</w:t>
      </w:r>
    </w:p>
    <w:p w14:paraId="20CFB1F4">
      <w:pPr>
        <w:widowControl/>
        <w:spacing w:before="75" w:after="75" w:line="425" w:lineRule="atLeast"/>
        <w:ind w:firstLine="482"/>
        <w:jc w:val="left"/>
        <w:rPr>
          <w:rFonts w:ascii="宋体" w:hAnsi="宋体" w:cs="宋体"/>
          <w:color w:val="auto"/>
          <w:kern w:val="0"/>
          <w:sz w:val="24"/>
        </w:rPr>
      </w:pPr>
      <w:r>
        <w:rPr>
          <w:rFonts w:ascii="宋体" w:hAnsi="宋体" w:cs="宋体"/>
          <w:color w:val="auto"/>
          <w:kern w:val="0"/>
          <w:sz w:val="24"/>
        </w:rPr>
        <w:t>1.3.1评审应保护国家利益、社会公共利益和各方当事人合法权益，提高采购效益，保证项目质量。</w:t>
      </w:r>
    </w:p>
    <w:p w14:paraId="35057FB4">
      <w:pPr>
        <w:widowControl/>
        <w:spacing w:before="75" w:after="75" w:line="425" w:lineRule="atLeast"/>
        <w:ind w:firstLine="482"/>
        <w:jc w:val="left"/>
        <w:rPr>
          <w:rFonts w:ascii="宋体" w:hAnsi="宋体" w:cs="宋体"/>
          <w:color w:val="auto"/>
          <w:kern w:val="0"/>
          <w:sz w:val="24"/>
        </w:rPr>
      </w:pPr>
      <w:r>
        <w:rPr>
          <w:rFonts w:ascii="宋体" w:hAnsi="宋体" w:cs="宋体"/>
          <w:color w:val="auto"/>
          <w:kern w:val="0"/>
          <w:sz w:val="24"/>
        </w:rPr>
        <w:t>1.3.2评审应遵循公平、公正、科学、严谨和择优原则。</w:t>
      </w:r>
    </w:p>
    <w:p w14:paraId="0C308361">
      <w:pPr>
        <w:widowControl/>
        <w:spacing w:before="75" w:after="75" w:line="425" w:lineRule="atLeast"/>
        <w:ind w:firstLine="482"/>
        <w:jc w:val="left"/>
        <w:rPr>
          <w:rFonts w:ascii="宋体" w:hAnsi="宋体" w:cs="宋体"/>
          <w:color w:val="auto"/>
          <w:kern w:val="0"/>
          <w:sz w:val="24"/>
        </w:rPr>
      </w:pPr>
      <w:r>
        <w:rPr>
          <w:rFonts w:ascii="宋体" w:hAnsi="宋体" w:cs="宋体"/>
          <w:color w:val="auto"/>
          <w:kern w:val="0"/>
          <w:sz w:val="24"/>
        </w:rPr>
        <w:t>1.3.3评审的依据是谈判文件和响应文件，谈判文件中没有规定的评审标准不得作为评审依据。</w:t>
      </w:r>
    </w:p>
    <w:p w14:paraId="6F9D440F">
      <w:pPr>
        <w:widowControl/>
        <w:spacing w:before="75" w:after="75" w:line="425" w:lineRule="atLeast"/>
        <w:ind w:firstLine="482"/>
        <w:jc w:val="left"/>
        <w:rPr>
          <w:rFonts w:ascii="宋体" w:hAnsi="宋体" w:cs="宋体"/>
          <w:color w:val="auto"/>
          <w:kern w:val="0"/>
          <w:sz w:val="24"/>
        </w:rPr>
      </w:pPr>
      <w:r>
        <w:rPr>
          <w:rFonts w:ascii="宋体" w:hAnsi="宋体" w:cs="宋体"/>
          <w:color w:val="auto"/>
          <w:kern w:val="0"/>
          <w:sz w:val="24"/>
        </w:rPr>
        <w:t>1.3.4谈判小组应按照谈判文件规定推荐成交候选供应商或根据采购人的授权确定成交供应商。</w:t>
      </w:r>
    </w:p>
    <w:p w14:paraId="01A6E9DF">
      <w:pPr>
        <w:widowControl/>
        <w:spacing w:before="75" w:after="75" w:line="425" w:lineRule="atLeast"/>
        <w:ind w:firstLine="482"/>
        <w:jc w:val="left"/>
        <w:rPr>
          <w:rFonts w:ascii="宋体" w:hAnsi="宋体" w:cs="宋体"/>
          <w:color w:val="auto"/>
          <w:kern w:val="0"/>
          <w:sz w:val="24"/>
        </w:rPr>
      </w:pPr>
      <w:r>
        <w:rPr>
          <w:rFonts w:ascii="宋体" w:hAnsi="宋体" w:cs="宋体"/>
          <w:color w:val="auto"/>
          <w:kern w:val="0"/>
          <w:sz w:val="24"/>
        </w:rPr>
        <w:t>1.3.5评审应遵守下列评审纪律：</w:t>
      </w:r>
    </w:p>
    <w:p w14:paraId="7D049047">
      <w:pPr>
        <w:widowControl/>
        <w:spacing w:before="75" w:after="75" w:line="425" w:lineRule="atLeast"/>
        <w:ind w:firstLine="482"/>
        <w:jc w:val="left"/>
        <w:rPr>
          <w:rFonts w:ascii="宋体" w:hAnsi="宋体" w:cs="宋体"/>
          <w:color w:val="auto"/>
          <w:kern w:val="0"/>
          <w:sz w:val="24"/>
        </w:rPr>
      </w:pPr>
      <w:r>
        <w:rPr>
          <w:rFonts w:hint="eastAsia" w:ascii="宋体" w:hAnsi="宋体" w:cs="宋体"/>
          <w:color w:val="auto"/>
          <w:kern w:val="0"/>
          <w:sz w:val="24"/>
        </w:rPr>
        <w:t>①</w:t>
      </w:r>
      <w:r>
        <w:rPr>
          <w:rFonts w:ascii="宋体" w:hAnsi="宋体" w:cs="宋体"/>
          <w:color w:val="auto"/>
          <w:kern w:val="0"/>
          <w:sz w:val="24"/>
        </w:rPr>
        <w:t>评审情况不得私自外泄，有关信息由采购人或其委托的代理机构统一对外发布。</w:t>
      </w:r>
    </w:p>
    <w:p w14:paraId="432EE70E">
      <w:pPr>
        <w:widowControl/>
        <w:spacing w:before="75" w:after="75" w:line="425" w:lineRule="atLeast"/>
        <w:ind w:firstLine="482"/>
        <w:jc w:val="left"/>
        <w:rPr>
          <w:rFonts w:ascii="宋体" w:hAnsi="宋体" w:cs="宋体"/>
          <w:color w:val="auto"/>
          <w:kern w:val="0"/>
          <w:sz w:val="24"/>
        </w:rPr>
      </w:pPr>
      <w:r>
        <w:rPr>
          <w:rFonts w:hint="eastAsia" w:ascii="宋体" w:hAnsi="宋体" w:cs="宋体"/>
          <w:color w:val="auto"/>
          <w:kern w:val="0"/>
          <w:sz w:val="24"/>
        </w:rPr>
        <w:t>②</w:t>
      </w:r>
      <w:r>
        <w:rPr>
          <w:rFonts w:ascii="宋体" w:hAnsi="宋体" w:cs="宋体"/>
          <w:color w:val="auto"/>
          <w:kern w:val="0"/>
          <w:sz w:val="24"/>
        </w:rPr>
        <w:t>对采购人或供应商提供的要求保密的资料，不得摘记翻印和外传。</w:t>
      </w:r>
    </w:p>
    <w:p w14:paraId="537881E1">
      <w:pPr>
        <w:widowControl/>
        <w:spacing w:before="75" w:after="75" w:line="425" w:lineRule="atLeast"/>
        <w:ind w:firstLine="482"/>
        <w:jc w:val="left"/>
        <w:rPr>
          <w:rFonts w:ascii="宋体" w:hAnsi="宋体" w:cs="宋体"/>
          <w:color w:val="auto"/>
          <w:kern w:val="0"/>
          <w:sz w:val="24"/>
        </w:rPr>
      </w:pPr>
      <w:r>
        <w:rPr>
          <w:rFonts w:hint="eastAsia" w:ascii="宋体" w:hAnsi="宋体" w:cs="宋体"/>
          <w:color w:val="auto"/>
          <w:kern w:val="0"/>
          <w:sz w:val="24"/>
        </w:rPr>
        <w:t>③</w:t>
      </w:r>
      <w:r>
        <w:rPr>
          <w:rFonts w:ascii="宋体" w:hAnsi="宋体" w:cs="宋体"/>
          <w:color w:val="auto"/>
          <w:kern w:val="0"/>
          <w:sz w:val="24"/>
        </w:rPr>
        <w:t>不得收受供应商或有关人员的任何礼物，不得串联鼓动其他人袒护某供应商。若与供应商存在利害关系，则应主动声明并回避。</w:t>
      </w:r>
    </w:p>
    <w:p w14:paraId="247CE557">
      <w:pPr>
        <w:widowControl/>
        <w:spacing w:before="75" w:after="75" w:line="425" w:lineRule="atLeast"/>
        <w:ind w:firstLine="482"/>
        <w:jc w:val="left"/>
        <w:rPr>
          <w:rFonts w:ascii="宋体" w:hAnsi="宋体" w:cs="宋体"/>
          <w:color w:val="auto"/>
          <w:kern w:val="0"/>
          <w:sz w:val="24"/>
        </w:rPr>
      </w:pPr>
      <w:r>
        <w:rPr>
          <w:rFonts w:hint="eastAsia" w:ascii="宋体" w:hAnsi="宋体" w:cs="宋体"/>
          <w:color w:val="auto"/>
          <w:kern w:val="0"/>
          <w:sz w:val="24"/>
        </w:rPr>
        <w:t>④</w:t>
      </w:r>
      <w:r>
        <w:rPr>
          <w:rFonts w:ascii="宋体" w:hAnsi="宋体" w:cs="宋体"/>
          <w:color w:val="auto"/>
          <w:kern w:val="0"/>
          <w:sz w:val="24"/>
        </w:rPr>
        <w:t>全体谈判小组成员应按照谈判文件规定进行评审，一切认定事项应查有实据且不得弄虚作假。</w:t>
      </w:r>
    </w:p>
    <w:p w14:paraId="628D128B">
      <w:pPr>
        <w:widowControl/>
        <w:spacing w:before="75" w:after="75" w:line="425" w:lineRule="atLeast"/>
        <w:ind w:firstLine="482"/>
        <w:jc w:val="left"/>
        <w:rPr>
          <w:rFonts w:ascii="宋体" w:hAnsi="宋体" w:cs="宋体"/>
          <w:color w:val="auto"/>
          <w:kern w:val="0"/>
          <w:sz w:val="24"/>
        </w:rPr>
      </w:pPr>
      <w:r>
        <w:rPr>
          <w:rFonts w:hint="eastAsia" w:ascii="宋体" w:hAnsi="宋体" w:cs="宋体"/>
          <w:color w:val="auto"/>
          <w:kern w:val="0"/>
          <w:sz w:val="24"/>
        </w:rPr>
        <w:t>⑤</w:t>
      </w:r>
      <w:r>
        <w:rPr>
          <w:rFonts w:ascii="宋体" w:hAnsi="宋体" w:cs="宋体"/>
          <w:color w:val="auto"/>
          <w:kern w:val="0"/>
          <w:sz w:val="24"/>
        </w:rPr>
        <w:t>评审中应充分发扬民主，推荐成交供应商候选人或根据采购人授权确定成交供应商后要服从评审报告。</w:t>
      </w:r>
    </w:p>
    <w:p w14:paraId="30076678">
      <w:pPr>
        <w:widowControl/>
        <w:spacing w:before="75" w:after="75" w:line="405" w:lineRule="atLeast"/>
        <w:ind w:firstLine="480"/>
        <w:jc w:val="left"/>
        <w:rPr>
          <w:rFonts w:ascii="宋体" w:hAnsi="宋体" w:cs="宋体"/>
          <w:color w:val="auto"/>
          <w:kern w:val="0"/>
          <w:sz w:val="24"/>
        </w:rPr>
      </w:pPr>
      <w:r>
        <w:rPr>
          <w:rFonts w:hint="eastAsia" w:ascii="宋体" w:hAnsi="宋体" w:cs="宋体"/>
          <w:b/>
          <w:bCs/>
          <w:color w:val="auto"/>
          <w:kern w:val="0"/>
          <w:sz w:val="24"/>
        </w:rPr>
        <w:t>※</w:t>
      </w:r>
      <w:r>
        <w:rPr>
          <w:rFonts w:ascii="宋体" w:hAnsi="宋体" w:cs="宋体"/>
          <w:b/>
          <w:bCs/>
          <w:color w:val="auto"/>
          <w:kern w:val="0"/>
          <w:sz w:val="24"/>
        </w:rPr>
        <w:t>对违反评审纪律的评委，将取消其评委资格，对评审工作造成严重损失者将予以通报批评乃至追究法律责任。</w:t>
      </w:r>
    </w:p>
    <w:p w14:paraId="327220FA">
      <w:pPr>
        <w:widowControl/>
        <w:spacing w:before="75" w:after="75" w:line="405" w:lineRule="atLeast"/>
        <w:jc w:val="left"/>
        <w:rPr>
          <w:rFonts w:ascii="宋体" w:hAnsi="宋体" w:cs="宋体"/>
          <w:color w:val="auto"/>
          <w:kern w:val="0"/>
          <w:sz w:val="24"/>
        </w:rPr>
      </w:pPr>
      <w:r>
        <w:rPr>
          <w:rFonts w:ascii="宋体" w:hAnsi="宋体" w:cs="宋体"/>
          <w:color w:val="auto"/>
          <w:kern w:val="0"/>
          <w:sz w:val="24"/>
        </w:rPr>
        <w:t> </w:t>
      </w:r>
    </w:p>
    <w:p w14:paraId="1A9089EB">
      <w:pPr>
        <w:widowControl/>
        <w:spacing w:before="75" w:after="75" w:line="405" w:lineRule="atLeast"/>
        <w:jc w:val="center"/>
        <w:rPr>
          <w:rFonts w:ascii="宋体" w:hAnsi="宋体" w:cs="宋体"/>
          <w:color w:val="auto"/>
          <w:kern w:val="0"/>
          <w:sz w:val="24"/>
        </w:rPr>
      </w:pPr>
    </w:p>
    <w:p w14:paraId="756C7E4C">
      <w:pPr>
        <w:widowControl/>
        <w:spacing w:before="75" w:after="75" w:line="405" w:lineRule="atLeast"/>
        <w:ind w:firstLine="2880" w:firstLineChars="1200"/>
        <w:jc w:val="both"/>
        <w:rPr>
          <w:rFonts w:ascii="宋体" w:hAnsi="宋体" w:cs="宋体"/>
          <w:color w:val="auto"/>
          <w:kern w:val="0"/>
          <w:sz w:val="24"/>
        </w:rPr>
      </w:pPr>
      <w:r>
        <w:rPr>
          <w:rFonts w:ascii="宋体" w:hAnsi="宋体" w:cs="宋体"/>
          <w:color w:val="auto"/>
          <w:kern w:val="0"/>
          <w:sz w:val="24"/>
        </w:rPr>
        <w:t>二、</w:t>
      </w:r>
      <w:r>
        <w:rPr>
          <w:rFonts w:ascii="宋体" w:hAnsi="宋体" w:cs="宋体"/>
          <w:b/>
          <w:bCs/>
          <w:color w:val="auto"/>
          <w:kern w:val="0"/>
          <w:sz w:val="24"/>
        </w:rPr>
        <w:t>谈判程序</w:t>
      </w:r>
    </w:p>
    <w:p w14:paraId="21C5CD8A">
      <w:pPr>
        <w:widowControl/>
        <w:spacing w:before="75" w:after="75" w:line="405" w:lineRule="atLeast"/>
        <w:jc w:val="left"/>
        <w:rPr>
          <w:rFonts w:ascii="宋体" w:hAnsi="宋体" w:cs="宋体"/>
          <w:color w:val="auto"/>
          <w:kern w:val="0"/>
          <w:sz w:val="24"/>
        </w:rPr>
      </w:pPr>
      <w:r>
        <w:rPr>
          <w:rFonts w:ascii="宋体" w:hAnsi="宋体" w:cs="宋体"/>
          <w:color w:val="auto"/>
          <w:kern w:val="0"/>
          <w:sz w:val="24"/>
        </w:rPr>
        <w:t> </w:t>
      </w:r>
    </w:p>
    <w:p w14:paraId="35AE2915">
      <w:pPr>
        <w:widowControl/>
        <w:spacing w:before="75" w:after="75" w:line="425" w:lineRule="atLeast"/>
        <w:ind w:firstLine="238"/>
        <w:jc w:val="left"/>
        <w:rPr>
          <w:rFonts w:ascii="宋体" w:hAnsi="宋体" w:cs="宋体"/>
          <w:color w:val="auto"/>
          <w:kern w:val="0"/>
          <w:sz w:val="24"/>
        </w:rPr>
      </w:pPr>
      <w:r>
        <w:rPr>
          <w:rFonts w:ascii="宋体" w:hAnsi="宋体" w:cs="宋体"/>
          <w:color w:val="auto"/>
          <w:kern w:val="0"/>
          <w:sz w:val="24"/>
        </w:rPr>
        <w:t>2.1谈判程序按照谈判文件第二章第2节“竞争性谈判须知”第13条“谈判程序以及评定成交的标准”的相关条款规定执行。</w:t>
      </w:r>
    </w:p>
    <w:p w14:paraId="03CB2308">
      <w:pPr>
        <w:widowControl/>
        <w:spacing w:before="75" w:after="75" w:line="425" w:lineRule="atLeast"/>
        <w:ind w:firstLine="238"/>
        <w:jc w:val="left"/>
        <w:rPr>
          <w:rFonts w:ascii="宋体" w:hAnsi="宋体" w:cs="宋体"/>
          <w:color w:val="auto"/>
          <w:kern w:val="0"/>
          <w:sz w:val="24"/>
        </w:rPr>
      </w:pPr>
      <w:r>
        <w:rPr>
          <w:rFonts w:ascii="宋体" w:hAnsi="宋体" w:cs="宋体"/>
          <w:color w:val="auto"/>
          <w:kern w:val="0"/>
          <w:sz w:val="24"/>
        </w:rPr>
        <w:t>2.2谈判文件不能详细列明采购标的的技术、服务要求，需经谈判由供应商提供最终设计方案或解决方案的，谈判结束后，谈判小组应当按照少数服从多数的原则投票推荐3家以上供应商的设计方案或者解决方案，并要求其在规定时间内提交最后报价。属于《政府采购非招标采购方式管理办法》等相关法律法规及财政部门颁布的规范性文件允许的两家供应商进行竞争性谈判采购情形，则提交最后报价的供应商可以为2家。</w:t>
      </w:r>
    </w:p>
    <w:p w14:paraId="4DFFBEFF">
      <w:pPr>
        <w:widowControl/>
        <w:spacing w:before="75" w:after="75" w:line="425" w:lineRule="atLeast"/>
        <w:ind w:firstLine="238"/>
        <w:jc w:val="left"/>
        <w:rPr>
          <w:rFonts w:ascii="宋体" w:hAnsi="宋体" w:cs="宋体"/>
          <w:color w:val="auto"/>
          <w:kern w:val="0"/>
          <w:sz w:val="24"/>
        </w:rPr>
      </w:pPr>
      <w:r>
        <w:rPr>
          <w:rFonts w:ascii="宋体" w:hAnsi="宋体" w:cs="宋体"/>
          <w:color w:val="auto"/>
          <w:kern w:val="0"/>
          <w:sz w:val="24"/>
        </w:rPr>
        <w:t>（谈判文件不能详细列明采购标的的技术、服务要求，需经谈判由供应商提供最终设计方案或解决方案的项目，则此文本框中用于填写推荐数量和投票细则等内容，由采购人根据谈判项目实际情况进行具体编制和明确规定）</w:t>
      </w:r>
    </w:p>
    <w:p w14:paraId="59FC3F97">
      <w:pPr>
        <w:widowControl/>
        <w:spacing w:before="75" w:after="75" w:line="425" w:lineRule="atLeast"/>
        <w:ind w:firstLine="238"/>
        <w:jc w:val="left"/>
        <w:rPr>
          <w:rFonts w:ascii="宋体" w:hAnsi="宋体" w:cs="宋体"/>
          <w:color w:val="auto"/>
          <w:kern w:val="0"/>
          <w:sz w:val="24"/>
        </w:rPr>
      </w:pPr>
      <w:r>
        <w:rPr>
          <w:rFonts w:ascii="宋体" w:hAnsi="宋体" w:cs="宋体"/>
          <w:color w:val="auto"/>
          <w:kern w:val="0"/>
          <w:sz w:val="24"/>
        </w:rPr>
        <w:t>2.3只有资格审查和实质性响应审查均合格且按规定提交最后报价的合格供应商才能参加评定成交的最后价格排序和成交候选人推荐。</w:t>
      </w:r>
    </w:p>
    <w:p w14:paraId="3014812D">
      <w:pPr>
        <w:widowControl/>
        <w:spacing w:before="75" w:after="75" w:line="405" w:lineRule="atLeast"/>
        <w:jc w:val="center"/>
        <w:rPr>
          <w:rFonts w:ascii="宋体" w:hAnsi="宋体" w:cs="宋体"/>
          <w:color w:val="auto"/>
          <w:kern w:val="0"/>
          <w:sz w:val="24"/>
        </w:rPr>
      </w:pPr>
      <w:r>
        <w:rPr>
          <w:rFonts w:ascii="宋体" w:hAnsi="宋体" w:cs="宋体"/>
          <w:b/>
          <w:bCs/>
          <w:color w:val="auto"/>
          <w:kern w:val="0"/>
          <w:sz w:val="24"/>
        </w:rPr>
        <w:t> </w:t>
      </w:r>
    </w:p>
    <w:p w14:paraId="6FDA3FD8">
      <w:pPr>
        <w:widowControl/>
        <w:spacing w:before="75" w:after="75" w:line="405" w:lineRule="atLeast"/>
        <w:jc w:val="center"/>
        <w:rPr>
          <w:rFonts w:ascii="宋体" w:hAnsi="宋体" w:cs="宋体"/>
          <w:color w:val="auto"/>
          <w:kern w:val="0"/>
          <w:sz w:val="24"/>
        </w:rPr>
      </w:pPr>
      <w:r>
        <w:rPr>
          <w:rFonts w:ascii="宋体" w:hAnsi="宋体" w:cs="宋体"/>
          <w:b/>
          <w:bCs/>
          <w:color w:val="auto"/>
          <w:kern w:val="0"/>
          <w:sz w:val="24"/>
        </w:rPr>
        <w:t>三、最低评审价法和成交候选人推荐</w:t>
      </w:r>
    </w:p>
    <w:p w14:paraId="10F31448">
      <w:pPr>
        <w:widowControl/>
        <w:spacing w:before="75" w:after="75" w:line="405" w:lineRule="atLeast"/>
        <w:jc w:val="left"/>
        <w:rPr>
          <w:rFonts w:ascii="宋体" w:hAnsi="宋体" w:cs="宋体"/>
          <w:color w:val="auto"/>
          <w:kern w:val="0"/>
          <w:sz w:val="24"/>
        </w:rPr>
      </w:pPr>
      <w:r>
        <w:rPr>
          <w:rFonts w:ascii="宋体" w:hAnsi="宋体" w:cs="宋体"/>
          <w:color w:val="auto"/>
          <w:kern w:val="0"/>
          <w:sz w:val="24"/>
        </w:rPr>
        <w:t> </w:t>
      </w:r>
    </w:p>
    <w:p w14:paraId="27B436CA">
      <w:pPr>
        <w:widowControl/>
        <w:spacing w:before="75" w:after="75" w:line="425" w:lineRule="atLeast"/>
        <w:ind w:firstLine="240"/>
        <w:jc w:val="left"/>
        <w:rPr>
          <w:rFonts w:ascii="宋体" w:hAnsi="宋体" w:cs="宋体"/>
          <w:color w:val="auto"/>
          <w:kern w:val="0"/>
          <w:sz w:val="24"/>
        </w:rPr>
      </w:pPr>
      <w:r>
        <w:rPr>
          <w:rFonts w:ascii="宋体" w:hAnsi="宋体" w:cs="宋体"/>
          <w:color w:val="auto"/>
          <w:kern w:val="0"/>
          <w:sz w:val="24"/>
        </w:rPr>
        <w:t>3.1谈判小组将采用最低评审价法对提交最后报价的合格供应商的响应文件和最后报价进行评审，并推荐成交候选人。如果谈判项目有多个合同包，则按相应合同包分别进行，具体评审的标准和方法如下：</w:t>
      </w:r>
    </w:p>
    <w:p w14:paraId="6CDBC672">
      <w:pPr>
        <w:widowControl/>
        <w:spacing w:line="425" w:lineRule="atLeast"/>
        <w:ind w:firstLine="465"/>
        <w:jc w:val="left"/>
        <w:rPr>
          <w:rFonts w:ascii="宋体" w:hAnsi="宋体" w:cs="宋体"/>
          <w:color w:val="auto"/>
          <w:kern w:val="0"/>
          <w:sz w:val="24"/>
        </w:rPr>
      </w:pPr>
      <w:r>
        <w:rPr>
          <w:rFonts w:ascii="宋体" w:hAnsi="宋体" w:cs="宋体"/>
          <w:color w:val="auto"/>
          <w:kern w:val="0"/>
          <w:sz w:val="24"/>
        </w:rPr>
        <w:t>3.1.1根据财政部及福建省财政厅等有关政府采购文件规定执行价格评审优惠政策，价格扣除规则如下：</w:t>
      </w:r>
    </w:p>
    <w:p w14:paraId="05B2FAFF">
      <w:pPr>
        <w:widowControl/>
        <w:spacing w:line="425" w:lineRule="atLeast"/>
        <w:ind w:firstLine="480"/>
        <w:jc w:val="left"/>
        <w:rPr>
          <w:rFonts w:hint="eastAsia" w:ascii="宋体" w:hAnsi="宋体" w:eastAsia="宋体" w:cs="宋体"/>
          <w:color w:val="auto"/>
          <w:kern w:val="0"/>
          <w:sz w:val="24"/>
          <w:lang w:val="en-US" w:eastAsia="zh-CN"/>
        </w:rPr>
      </w:pPr>
      <w:r>
        <w:rPr>
          <w:rFonts w:ascii="宋体" w:hAnsi="宋体" w:cs="宋体"/>
          <w:color w:val="auto"/>
          <w:kern w:val="0"/>
          <w:sz w:val="24"/>
        </w:rPr>
        <w:t xml:space="preserve">包1: </w:t>
      </w:r>
      <w:r>
        <w:rPr>
          <w:rFonts w:hint="eastAsia" w:ascii="宋体" w:hAnsi="宋体" w:cs="宋体"/>
          <w:color w:val="auto"/>
          <w:kern w:val="0"/>
          <w:sz w:val="24"/>
          <w:lang w:val="en-US" w:eastAsia="zh-CN"/>
        </w:rPr>
        <w:t>无</w:t>
      </w:r>
    </w:p>
    <w:p w14:paraId="0AFEF2AA">
      <w:pPr>
        <w:widowControl/>
        <w:spacing w:before="75" w:after="75" w:line="425" w:lineRule="atLeast"/>
        <w:ind w:firstLine="465"/>
        <w:jc w:val="left"/>
        <w:rPr>
          <w:rFonts w:ascii="宋体" w:hAnsi="宋体" w:cs="宋体"/>
          <w:color w:val="auto"/>
          <w:kern w:val="0"/>
          <w:sz w:val="24"/>
        </w:rPr>
      </w:pPr>
      <w:r>
        <w:rPr>
          <w:rFonts w:ascii="宋体" w:hAnsi="宋体" w:cs="宋体"/>
          <w:color w:val="auto"/>
          <w:kern w:val="0"/>
          <w:sz w:val="24"/>
        </w:rPr>
        <w:t>3.1.2合格供应商提交的最后报价按照上文3.1.1款规定的价格扣除规则计算后，得出的价格称为最后报价评审价。</w:t>
      </w:r>
    </w:p>
    <w:p w14:paraId="7607ED19">
      <w:pPr>
        <w:widowControl/>
        <w:spacing w:before="75" w:after="75" w:line="425" w:lineRule="atLeast"/>
        <w:ind w:firstLine="480"/>
        <w:jc w:val="left"/>
        <w:rPr>
          <w:rFonts w:ascii="宋体" w:hAnsi="宋体" w:cs="宋体"/>
          <w:color w:val="auto"/>
          <w:kern w:val="0"/>
          <w:sz w:val="24"/>
        </w:rPr>
      </w:pPr>
      <w:r>
        <w:rPr>
          <w:rFonts w:ascii="宋体" w:hAnsi="宋体" w:cs="宋体"/>
          <w:color w:val="auto"/>
          <w:kern w:val="0"/>
          <w:sz w:val="24"/>
        </w:rPr>
        <w:t>3.1.3谈判小组将从质量和服务均能满足采购文件实质性响应要求的供应商中，按照最后报价评审价由低到高的顺序提出3名以上成交候选人，并编写评审报告。属于《政府采购非招标采购方式管理办法》等相关法律法规及财政部门颁布的规范性文件允许的两家供应商进行竞争性谈判采购情形，则可以按照最后报价由低到高的顺序提出2名成交候选人。如果成交候选人出现并列相同的最低评审价，则按照以下方式和顺序进行处理：</w:t>
      </w:r>
    </w:p>
    <w:p w14:paraId="48734A74">
      <w:pPr>
        <w:widowControl/>
        <w:spacing w:before="75" w:after="75" w:line="425" w:lineRule="atLeast"/>
        <w:ind w:firstLine="480"/>
        <w:jc w:val="left"/>
        <w:rPr>
          <w:rFonts w:ascii="宋体" w:hAnsi="宋体" w:cs="宋体"/>
          <w:color w:val="auto"/>
          <w:kern w:val="0"/>
          <w:sz w:val="24"/>
        </w:rPr>
      </w:pPr>
      <w:r>
        <w:rPr>
          <w:rFonts w:ascii="宋体" w:hAnsi="宋体" w:cs="宋体"/>
          <w:color w:val="auto"/>
          <w:kern w:val="0"/>
          <w:sz w:val="24"/>
        </w:rPr>
        <w:t>（1）谈判文件可以约定出现并列最低评审价情形时的优先顺序规则，具体规则为：</w:t>
      </w:r>
    </w:p>
    <w:p w14:paraId="750A2742">
      <w:pPr>
        <w:widowControl/>
        <w:spacing w:before="75" w:after="75" w:line="425" w:lineRule="atLeast"/>
        <w:ind w:firstLine="480"/>
        <w:jc w:val="left"/>
        <w:rPr>
          <w:rFonts w:ascii="宋体" w:hAnsi="宋体" w:cs="宋体"/>
          <w:color w:val="auto"/>
          <w:kern w:val="0"/>
          <w:sz w:val="24"/>
        </w:rPr>
      </w:pPr>
      <w:r>
        <w:rPr>
          <w:rFonts w:ascii="宋体" w:hAnsi="宋体" w:cs="宋体"/>
          <w:color w:val="auto"/>
          <w:kern w:val="0"/>
          <w:sz w:val="24"/>
        </w:rPr>
        <w:t>（2）谈判文件未约定优先顺序规则时，则由谈判小组中的采购人代表从并列最低评审价名单中自行选择确定优先顺序</w:t>
      </w:r>
    </w:p>
    <w:p w14:paraId="17EB7C7F">
      <w:pPr>
        <w:widowControl/>
        <w:spacing w:before="75" w:after="75" w:line="425" w:lineRule="atLeast"/>
        <w:ind w:firstLine="480"/>
        <w:jc w:val="left"/>
        <w:rPr>
          <w:rFonts w:ascii="宋体" w:hAnsi="宋体" w:cs="宋体"/>
          <w:color w:val="auto"/>
          <w:kern w:val="0"/>
          <w:sz w:val="24"/>
        </w:rPr>
      </w:pPr>
      <w:r>
        <w:rPr>
          <w:rFonts w:ascii="宋体" w:hAnsi="宋体" w:cs="宋体"/>
          <w:color w:val="auto"/>
          <w:kern w:val="0"/>
          <w:sz w:val="24"/>
        </w:rPr>
        <w:t>（3）采购人代表放弃自行选择确定权利的，则通过随机抽取方式确定优先顺序。</w:t>
      </w:r>
    </w:p>
    <w:p w14:paraId="0D492A53">
      <w:pPr>
        <w:widowControl/>
        <w:spacing w:before="75" w:after="75" w:line="405" w:lineRule="atLeast"/>
        <w:ind w:firstLine="480"/>
        <w:jc w:val="left"/>
        <w:rPr>
          <w:rFonts w:ascii="宋体" w:hAnsi="宋体" w:cs="宋体"/>
          <w:color w:val="auto"/>
          <w:kern w:val="0"/>
          <w:sz w:val="24"/>
        </w:rPr>
      </w:pPr>
      <w:r>
        <w:rPr>
          <w:rFonts w:ascii="宋体" w:hAnsi="宋体" w:cs="宋体"/>
          <w:color w:val="auto"/>
          <w:kern w:val="0"/>
          <w:sz w:val="24"/>
        </w:rPr>
        <w:t> </w:t>
      </w:r>
    </w:p>
    <w:p w14:paraId="7116749A">
      <w:pPr>
        <w:widowControl/>
        <w:spacing w:before="75" w:after="75" w:line="405" w:lineRule="atLeast"/>
        <w:jc w:val="center"/>
        <w:rPr>
          <w:rFonts w:ascii="宋体" w:hAnsi="宋体" w:cs="宋体"/>
          <w:color w:val="auto"/>
          <w:kern w:val="0"/>
          <w:sz w:val="24"/>
        </w:rPr>
      </w:pPr>
      <w:r>
        <w:rPr>
          <w:rFonts w:ascii="宋体" w:hAnsi="宋体" w:cs="宋体"/>
          <w:b/>
          <w:bCs/>
          <w:color w:val="auto"/>
          <w:kern w:val="0"/>
          <w:sz w:val="24"/>
        </w:rPr>
        <w:t>四、评审报告</w:t>
      </w:r>
    </w:p>
    <w:p w14:paraId="21FFED25">
      <w:pPr>
        <w:widowControl/>
        <w:spacing w:before="75" w:after="75" w:line="405" w:lineRule="atLeast"/>
        <w:jc w:val="left"/>
        <w:rPr>
          <w:rFonts w:ascii="宋体" w:hAnsi="宋体" w:cs="宋体"/>
          <w:color w:val="auto"/>
          <w:kern w:val="0"/>
          <w:sz w:val="24"/>
        </w:rPr>
      </w:pPr>
      <w:r>
        <w:rPr>
          <w:rFonts w:ascii="宋体" w:hAnsi="宋体" w:cs="宋体"/>
          <w:color w:val="auto"/>
          <w:kern w:val="0"/>
          <w:sz w:val="24"/>
        </w:rPr>
        <w:t> </w:t>
      </w:r>
    </w:p>
    <w:p w14:paraId="607B0720">
      <w:pPr>
        <w:widowControl/>
        <w:spacing w:before="75" w:after="75" w:line="405" w:lineRule="atLeast"/>
        <w:ind w:firstLine="240"/>
        <w:jc w:val="left"/>
        <w:rPr>
          <w:rFonts w:ascii="宋体" w:hAnsi="宋体" w:cs="宋体"/>
          <w:color w:val="auto"/>
          <w:kern w:val="0"/>
          <w:sz w:val="24"/>
        </w:rPr>
      </w:pPr>
      <w:r>
        <w:rPr>
          <w:rFonts w:ascii="宋体" w:hAnsi="宋体" w:cs="宋体"/>
          <w:color w:val="auto"/>
          <w:kern w:val="0"/>
          <w:sz w:val="24"/>
        </w:rPr>
        <w:t>4.1谈判小组完成评审后，应当编写评审报告并提交给采购人。</w:t>
      </w:r>
    </w:p>
    <w:p w14:paraId="313A5FF7">
      <w:pPr>
        <w:widowControl/>
        <w:spacing w:before="75" w:after="75" w:line="405" w:lineRule="atLeast"/>
        <w:ind w:firstLine="240"/>
        <w:jc w:val="left"/>
        <w:rPr>
          <w:rFonts w:ascii="宋体" w:hAnsi="宋体" w:cs="宋体"/>
          <w:color w:val="auto"/>
          <w:kern w:val="0"/>
          <w:sz w:val="24"/>
        </w:rPr>
      </w:pPr>
      <w:r>
        <w:rPr>
          <w:rFonts w:ascii="宋体" w:hAnsi="宋体" w:cs="宋体"/>
          <w:color w:val="auto"/>
          <w:kern w:val="0"/>
          <w:sz w:val="24"/>
        </w:rPr>
        <w:t>4.2评审报告应当包括以下主要内容：</w:t>
      </w:r>
    </w:p>
    <w:p w14:paraId="5D9F30FB">
      <w:pPr>
        <w:widowControl/>
        <w:spacing w:before="75" w:after="75" w:line="405" w:lineRule="atLeast"/>
        <w:ind w:firstLine="480"/>
        <w:jc w:val="left"/>
        <w:rPr>
          <w:rFonts w:ascii="宋体" w:hAnsi="宋体" w:cs="宋体"/>
          <w:color w:val="auto"/>
          <w:kern w:val="0"/>
          <w:sz w:val="24"/>
        </w:rPr>
      </w:pPr>
      <w:r>
        <w:rPr>
          <w:rFonts w:ascii="宋体" w:hAnsi="宋体" w:cs="宋体"/>
          <w:color w:val="auto"/>
          <w:kern w:val="0"/>
          <w:sz w:val="24"/>
        </w:rPr>
        <w:t>（一）邀请供应商参加采购活动的具体方式和相关情况，以及参加采购活动的供应商名单；</w:t>
      </w:r>
    </w:p>
    <w:p w14:paraId="3245027F">
      <w:pPr>
        <w:widowControl/>
        <w:spacing w:before="75" w:after="75" w:line="405" w:lineRule="atLeast"/>
        <w:ind w:firstLine="480"/>
        <w:jc w:val="left"/>
        <w:rPr>
          <w:rFonts w:ascii="宋体" w:hAnsi="宋体" w:cs="宋体"/>
          <w:color w:val="auto"/>
          <w:kern w:val="0"/>
          <w:sz w:val="24"/>
        </w:rPr>
      </w:pPr>
      <w:r>
        <w:rPr>
          <w:rFonts w:ascii="宋体" w:hAnsi="宋体" w:cs="宋体"/>
          <w:color w:val="auto"/>
          <w:kern w:val="0"/>
          <w:sz w:val="24"/>
        </w:rPr>
        <w:t>（二）评审日期和地点，谈判小组成员名单；</w:t>
      </w:r>
    </w:p>
    <w:p w14:paraId="6C9F4AC8">
      <w:pPr>
        <w:widowControl/>
        <w:spacing w:before="75" w:after="75" w:line="405" w:lineRule="atLeast"/>
        <w:ind w:firstLine="480"/>
        <w:jc w:val="left"/>
        <w:rPr>
          <w:rFonts w:ascii="宋体" w:hAnsi="宋体" w:cs="宋体"/>
          <w:color w:val="auto"/>
          <w:kern w:val="0"/>
          <w:sz w:val="24"/>
        </w:rPr>
      </w:pPr>
      <w:r>
        <w:rPr>
          <w:rFonts w:ascii="宋体" w:hAnsi="宋体" w:cs="宋体"/>
          <w:color w:val="auto"/>
          <w:kern w:val="0"/>
          <w:sz w:val="24"/>
        </w:rPr>
        <w:t>（三）评审情况记录和说明，包括对供应商的资格审查情况、供应商响应文件评审情况、谈判情况、报价情况等；</w:t>
      </w:r>
    </w:p>
    <w:p w14:paraId="6A867759">
      <w:pPr>
        <w:widowControl/>
        <w:spacing w:before="75" w:after="75" w:line="405" w:lineRule="atLeast"/>
        <w:ind w:firstLine="480"/>
        <w:jc w:val="left"/>
        <w:rPr>
          <w:rFonts w:ascii="宋体" w:hAnsi="宋体" w:cs="宋体"/>
          <w:color w:val="auto"/>
          <w:kern w:val="0"/>
          <w:sz w:val="24"/>
        </w:rPr>
      </w:pPr>
      <w:r>
        <w:rPr>
          <w:rFonts w:ascii="宋体" w:hAnsi="宋体" w:cs="宋体"/>
          <w:color w:val="auto"/>
          <w:kern w:val="0"/>
          <w:sz w:val="24"/>
        </w:rPr>
        <w:t>（四）提出的成交候选人的名单及理由。</w:t>
      </w:r>
    </w:p>
    <w:p w14:paraId="0275EE72">
      <w:pPr>
        <w:widowControl/>
        <w:spacing w:before="75" w:after="75" w:line="405" w:lineRule="atLeast"/>
        <w:ind w:firstLine="240"/>
        <w:jc w:val="left"/>
        <w:rPr>
          <w:rFonts w:ascii="宋体" w:hAnsi="宋体" w:cs="宋体"/>
          <w:color w:val="auto"/>
          <w:kern w:val="0"/>
          <w:sz w:val="24"/>
        </w:rPr>
      </w:pPr>
      <w:r>
        <w:rPr>
          <w:rFonts w:ascii="宋体" w:hAnsi="宋体" w:cs="宋体"/>
          <w:color w:val="auto"/>
          <w:kern w:val="0"/>
          <w:sz w:val="24"/>
        </w:rPr>
        <w:t>4.3评审报告应当由谈判小组全体人员签字认可。谈判小组成员对评审报告有异议的，谈判小组按照少数服从多数的原则推荐成交候选人，采购程序继续进行。对评审报告有异议的谈判小组成员，应当在报告上签署不同意见并说明理由，由谈判小组书面记录相关情况。谈判小组成员拒绝在报告上签字又不书面说明其不同意见和理由的，视为同意评审报告。</w:t>
      </w:r>
    </w:p>
    <w:p w14:paraId="1C1CF204">
      <w:pPr>
        <w:widowControl/>
        <w:spacing w:before="75" w:after="75" w:line="405" w:lineRule="atLeast"/>
        <w:jc w:val="center"/>
        <w:rPr>
          <w:rFonts w:ascii="宋体" w:hAnsi="宋体" w:cs="宋体"/>
          <w:color w:val="auto"/>
          <w:kern w:val="0"/>
          <w:sz w:val="24"/>
        </w:rPr>
      </w:pPr>
      <w:r>
        <w:rPr>
          <w:rFonts w:ascii="宋体" w:hAnsi="宋体" w:cs="宋体"/>
          <w:b/>
          <w:bCs/>
          <w:color w:val="auto"/>
          <w:kern w:val="0"/>
          <w:sz w:val="24"/>
        </w:rPr>
        <w:t>五、其他规定</w:t>
      </w:r>
    </w:p>
    <w:p w14:paraId="56938944">
      <w:pPr>
        <w:widowControl/>
        <w:spacing w:before="75" w:after="75" w:line="405" w:lineRule="atLeast"/>
        <w:jc w:val="left"/>
        <w:rPr>
          <w:rFonts w:ascii="宋体" w:hAnsi="宋体" w:cs="宋体"/>
          <w:color w:val="auto"/>
          <w:kern w:val="0"/>
          <w:sz w:val="24"/>
        </w:rPr>
      </w:pPr>
      <w:r>
        <w:rPr>
          <w:rFonts w:ascii="宋体" w:hAnsi="宋体" w:cs="宋体"/>
          <w:color w:val="auto"/>
          <w:kern w:val="0"/>
          <w:sz w:val="24"/>
        </w:rPr>
        <w:t> </w:t>
      </w:r>
    </w:p>
    <w:p w14:paraId="5127BFD0">
      <w:pPr>
        <w:widowControl/>
        <w:spacing w:before="75" w:after="75" w:line="405" w:lineRule="atLeast"/>
        <w:jc w:val="left"/>
        <w:rPr>
          <w:rFonts w:ascii="宋体" w:hAnsi="宋体" w:cs="宋体"/>
          <w:color w:val="auto"/>
          <w:kern w:val="0"/>
          <w:sz w:val="24"/>
        </w:rPr>
      </w:pPr>
      <w:r>
        <w:rPr>
          <w:rFonts w:ascii="宋体" w:hAnsi="宋体" w:cs="宋体"/>
          <w:color w:val="auto"/>
          <w:kern w:val="0"/>
          <w:sz w:val="24"/>
        </w:rPr>
        <w:t> 5.1其他规定</w:t>
      </w:r>
    </w:p>
    <w:p w14:paraId="45FC1B57">
      <w:pPr>
        <w:widowControl/>
        <w:spacing w:before="75" w:after="75" w:line="405" w:lineRule="atLeast"/>
        <w:ind w:firstLine="480"/>
        <w:jc w:val="left"/>
        <w:rPr>
          <w:rFonts w:ascii="宋体" w:hAnsi="宋体" w:cs="宋体"/>
          <w:color w:val="auto"/>
          <w:kern w:val="0"/>
          <w:sz w:val="24"/>
        </w:rPr>
      </w:pPr>
      <w:r>
        <w:rPr>
          <w:rFonts w:ascii="宋体" w:hAnsi="宋体" w:cs="宋体"/>
          <w:color w:val="auto"/>
          <w:kern w:val="0"/>
          <w:sz w:val="24"/>
        </w:rPr>
        <w:t>5.1.1评审应全程保密且不得透露给任一供应商或与评审工作无关的人员。</w:t>
      </w:r>
    </w:p>
    <w:p w14:paraId="5E9A41C5">
      <w:pPr>
        <w:widowControl/>
        <w:spacing w:before="75" w:after="75" w:line="405" w:lineRule="atLeast"/>
        <w:ind w:firstLine="480"/>
        <w:jc w:val="left"/>
        <w:rPr>
          <w:rFonts w:ascii="宋体" w:hAnsi="宋体" w:cs="宋体"/>
          <w:color w:val="auto"/>
          <w:kern w:val="0"/>
          <w:sz w:val="24"/>
        </w:rPr>
      </w:pPr>
      <w:r>
        <w:rPr>
          <w:rFonts w:ascii="宋体" w:hAnsi="宋体" w:cs="宋体"/>
          <w:color w:val="auto"/>
          <w:kern w:val="0"/>
          <w:sz w:val="24"/>
        </w:rPr>
        <w:t>5.1.2评审将进行全程实时录音录像，录音录像资料随采购文件一并存档。</w:t>
      </w:r>
    </w:p>
    <w:p w14:paraId="0C3D64F4">
      <w:pPr>
        <w:widowControl/>
        <w:spacing w:before="75" w:after="75" w:line="405" w:lineRule="atLeast"/>
        <w:ind w:firstLine="480"/>
        <w:jc w:val="left"/>
        <w:rPr>
          <w:rFonts w:ascii="宋体" w:hAnsi="宋体" w:cs="宋体"/>
          <w:color w:val="auto"/>
          <w:kern w:val="0"/>
          <w:sz w:val="24"/>
        </w:rPr>
      </w:pPr>
      <w:r>
        <w:rPr>
          <w:rFonts w:ascii="宋体" w:hAnsi="宋体" w:cs="宋体"/>
          <w:color w:val="auto"/>
          <w:kern w:val="0"/>
          <w:sz w:val="24"/>
        </w:rPr>
        <w:t>5.1.3若供应商有任何试图干扰具体评审事务，影响谈判小组独立履行职责的行为，其响应无效且不予退还谈判保证金。情节严重的，由财政部门列入不良行为记录。</w:t>
      </w:r>
    </w:p>
    <w:p w14:paraId="068FF6D7">
      <w:pPr>
        <w:widowControl/>
        <w:spacing w:before="75" w:after="75" w:line="405" w:lineRule="atLeast"/>
        <w:ind w:firstLine="480"/>
        <w:jc w:val="left"/>
        <w:rPr>
          <w:rFonts w:ascii="宋体" w:hAnsi="宋体" w:cs="宋体"/>
          <w:color w:val="auto"/>
          <w:kern w:val="0"/>
          <w:sz w:val="24"/>
        </w:rPr>
      </w:pPr>
      <w:r>
        <w:rPr>
          <w:rFonts w:ascii="宋体" w:hAnsi="宋体" w:cs="宋体"/>
          <w:color w:val="auto"/>
          <w:kern w:val="0"/>
          <w:sz w:val="24"/>
        </w:rPr>
        <w:t>5.1.4根据采购项目的特点和需要，需要加以详细说明的其他谈判程序规定、要求等内容：</w:t>
      </w:r>
    </w:p>
    <w:p w14:paraId="207A048D">
      <w:pPr>
        <w:widowControl/>
        <w:spacing w:before="75" w:after="75" w:line="435" w:lineRule="atLeast"/>
        <w:jc w:val="left"/>
        <w:rPr>
          <w:rFonts w:ascii="宋体" w:hAnsi="宋体" w:cs="宋体"/>
          <w:color w:val="auto"/>
          <w:kern w:val="0"/>
          <w:sz w:val="24"/>
        </w:rPr>
      </w:pPr>
    </w:p>
    <w:p w14:paraId="3BF181A1">
      <w:pPr>
        <w:widowControl/>
        <w:spacing w:before="75" w:after="75" w:line="435" w:lineRule="atLeast"/>
        <w:jc w:val="left"/>
        <w:rPr>
          <w:rFonts w:ascii="宋体" w:hAnsi="宋体" w:cs="宋体"/>
          <w:color w:val="auto"/>
          <w:kern w:val="0"/>
          <w:sz w:val="24"/>
        </w:rPr>
      </w:pPr>
    </w:p>
    <w:p w14:paraId="0EED2197">
      <w:pPr>
        <w:widowControl/>
        <w:spacing w:before="75" w:after="75"/>
        <w:jc w:val="left"/>
        <w:rPr>
          <w:rFonts w:ascii="宋体" w:hAnsi="宋体" w:cs="宋体"/>
          <w:color w:val="auto"/>
          <w:kern w:val="0"/>
          <w:sz w:val="24"/>
        </w:rPr>
      </w:pPr>
      <w:r>
        <w:rPr>
          <w:rFonts w:ascii="宋体" w:hAnsi="宋体" w:cs="宋体"/>
          <w:color w:val="auto"/>
          <w:kern w:val="0"/>
          <w:sz w:val="24"/>
        </w:rPr>
        <w:t>           </w:t>
      </w:r>
      <w:r>
        <w:rPr>
          <w:rFonts w:ascii="宋体" w:hAnsi="宋体" w:cs="宋体"/>
          <w:b/>
          <w:bCs/>
          <w:color w:val="auto"/>
          <w:kern w:val="0"/>
          <w:sz w:val="24"/>
        </w:rPr>
        <w:t>第2节  竞争性谈判须知</w:t>
      </w:r>
    </w:p>
    <w:p w14:paraId="2A1765FA">
      <w:pPr>
        <w:widowControl/>
        <w:spacing w:before="75" w:after="75"/>
        <w:jc w:val="left"/>
        <w:rPr>
          <w:rFonts w:ascii="宋体" w:hAnsi="宋体" w:cs="宋体"/>
          <w:color w:val="auto"/>
          <w:kern w:val="0"/>
          <w:sz w:val="24"/>
        </w:rPr>
      </w:pPr>
      <w:r>
        <w:rPr>
          <w:rFonts w:ascii="宋体" w:hAnsi="宋体" w:cs="宋体"/>
          <w:color w:val="auto"/>
          <w:kern w:val="0"/>
          <w:sz w:val="24"/>
        </w:rPr>
        <w:t> </w:t>
      </w:r>
    </w:p>
    <w:p w14:paraId="57AFF9EE">
      <w:pPr>
        <w:widowControl/>
        <w:spacing w:before="75" w:after="75" w:line="435" w:lineRule="atLeast"/>
        <w:jc w:val="center"/>
        <w:rPr>
          <w:rFonts w:ascii="宋体" w:hAnsi="宋体" w:cs="宋体"/>
          <w:color w:val="auto"/>
          <w:kern w:val="0"/>
          <w:sz w:val="24"/>
        </w:rPr>
      </w:pPr>
      <w:r>
        <w:rPr>
          <w:rFonts w:ascii="宋体" w:hAnsi="宋体" w:cs="宋体"/>
          <w:b/>
          <w:bCs/>
          <w:color w:val="auto"/>
          <w:kern w:val="0"/>
          <w:sz w:val="24"/>
        </w:rPr>
        <w:t>一、总则</w:t>
      </w:r>
    </w:p>
    <w:p w14:paraId="0DFBDFC1">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w:t>
      </w:r>
    </w:p>
    <w:p w14:paraId="29B03FC6">
      <w:pPr>
        <w:widowControl/>
        <w:spacing w:before="75" w:after="75" w:line="435" w:lineRule="atLeast"/>
        <w:jc w:val="left"/>
        <w:rPr>
          <w:rFonts w:ascii="宋体" w:hAnsi="宋体" w:cs="宋体"/>
          <w:color w:val="auto"/>
          <w:kern w:val="0"/>
          <w:sz w:val="24"/>
        </w:rPr>
      </w:pPr>
      <w:r>
        <w:rPr>
          <w:rFonts w:ascii="宋体" w:hAnsi="宋体" w:cs="宋体"/>
          <w:b/>
          <w:bCs/>
          <w:color w:val="auto"/>
          <w:kern w:val="0"/>
          <w:sz w:val="24"/>
        </w:rPr>
        <w:t>1.适用范围：</w:t>
      </w:r>
    </w:p>
    <w:p w14:paraId="000D70DF">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1.1适用于谈判文件载明项目的采购活动（以下简称：“本次采购活动”）。</w:t>
      </w:r>
    </w:p>
    <w:p w14:paraId="131FA887">
      <w:pPr>
        <w:widowControl/>
        <w:spacing w:before="75" w:after="75" w:line="435" w:lineRule="atLeast"/>
        <w:jc w:val="left"/>
        <w:rPr>
          <w:rFonts w:ascii="宋体" w:hAnsi="宋体" w:cs="宋体"/>
          <w:color w:val="auto"/>
          <w:kern w:val="0"/>
          <w:sz w:val="24"/>
        </w:rPr>
      </w:pPr>
      <w:r>
        <w:rPr>
          <w:rFonts w:ascii="宋体" w:hAnsi="宋体" w:cs="宋体"/>
          <w:b/>
          <w:bCs/>
          <w:color w:val="auto"/>
          <w:kern w:val="0"/>
          <w:sz w:val="24"/>
        </w:rPr>
        <w:t>2.定义及要求：</w:t>
      </w:r>
    </w:p>
    <w:p w14:paraId="6DC1B9EF">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2.1“采购标的”指谈判文件载明的需要采购的货物、服务、工程。</w:t>
      </w:r>
    </w:p>
    <w:p w14:paraId="57AEF74D">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2.2“采购人”指本次采购项目的买方、或业主方、或甲方，具体见谈判文件第一章；“采购代理机构”系指接受采购人委托，组织开展竞争性谈判采购活动的代理机构，具体见谈判文件第一章。</w:t>
      </w:r>
    </w:p>
    <w:p w14:paraId="756BECAB">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2.3“潜在供应商”按照谈判文件第一章规定进行报名，且有意向参加本项目响应谈判的供应商。</w:t>
      </w:r>
    </w:p>
    <w:p w14:paraId="08A3B969">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2.4“供应商”指按照谈判文件第一章规定进行报名，且已经提交响应文件的法人或其他组织或自然人。只有适合自然人参与和承接的政府采购项目，供应商才可以是自然人。</w:t>
      </w:r>
    </w:p>
    <w:p w14:paraId="14091DBC">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2.5“单位负责人”指单位法定代表人（供应商为法人的）或法律、法规规定代表单位行使职权的主要负责人（供应商为其他组织的）。</w:t>
      </w:r>
    </w:p>
    <w:p w14:paraId="28BBA519">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2.6“供应商代表”指供应商（为法人或其他组织的）的单位负责人或由其授权的委托代理人，即单位负责人授权书中载明的接受授权方。供应商为自然人的，由本人签字并附身份证明。</w:t>
      </w:r>
    </w:p>
    <w:p w14:paraId="1A80AEC8">
      <w:pPr>
        <w:widowControl/>
        <w:spacing w:before="75" w:after="75" w:line="435" w:lineRule="atLeast"/>
        <w:jc w:val="left"/>
        <w:rPr>
          <w:rFonts w:ascii="宋体" w:hAnsi="宋体" w:cs="宋体"/>
          <w:color w:val="auto"/>
          <w:kern w:val="0"/>
          <w:sz w:val="24"/>
        </w:rPr>
      </w:pPr>
      <w:r>
        <w:rPr>
          <w:rFonts w:ascii="宋体" w:hAnsi="宋体" w:cs="宋体"/>
          <w:b/>
          <w:bCs/>
          <w:color w:val="auto"/>
          <w:kern w:val="0"/>
          <w:sz w:val="24"/>
        </w:rPr>
        <w:t>3.合格的供应商：</w:t>
      </w:r>
    </w:p>
    <w:p w14:paraId="55820439">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3.1一般规定</w:t>
      </w:r>
    </w:p>
    <w:p w14:paraId="4EA5127D">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3.1.1供应商应当遵守中国的有关法律、法规和规章的规定，参加政府采购活动时已经自觉检查并按照政府采购相关法律规定，主动回避相应利害关系。</w:t>
      </w:r>
    </w:p>
    <w:p w14:paraId="01988B8B">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3.1.2为采购项目提供整体设计、规范编制或项目管理、监理、检测等服务的供应商，不得再参加该采购项目除整体设计、规范编制和项目管理、监理、检测等服务之外的其他采购活动</w:t>
      </w:r>
      <w:r>
        <w:rPr>
          <w:rFonts w:ascii="宋体" w:hAnsi="宋体" w:cs="宋体"/>
          <w:b/>
          <w:bCs/>
          <w:color w:val="auto"/>
          <w:kern w:val="0"/>
          <w:sz w:val="24"/>
        </w:rPr>
        <w:t>。</w:t>
      </w:r>
    </w:p>
    <w:p w14:paraId="105A93D3">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3.1.3列入失信被执行人、重大税收违法案件当事人名单、政府采购严重违法失信行为记录名单及其他不符合《中华人民共和国政府采购法》第二十二条规定条件的供应商，不得参加政府采购活动</w:t>
      </w:r>
      <w:r>
        <w:rPr>
          <w:rFonts w:ascii="宋体" w:hAnsi="宋体" w:cs="宋体"/>
          <w:b/>
          <w:bCs/>
          <w:color w:val="auto"/>
          <w:kern w:val="0"/>
          <w:sz w:val="24"/>
        </w:rPr>
        <w:t>。</w:t>
      </w:r>
    </w:p>
    <w:p w14:paraId="382BAE59">
      <w:pPr>
        <w:widowControl/>
        <w:spacing w:before="75" w:after="75" w:line="435" w:lineRule="atLeast"/>
        <w:ind w:firstLine="480"/>
        <w:jc w:val="left"/>
        <w:rPr>
          <w:rFonts w:ascii="宋体" w:hAnsi="宋体" w:cs="宋体"/>
          <w:color w:val="auto"/>
          <w:kern w:val="0"/>
          <w:sz w:val="24"/>
        </w:rPr>
      </w:pPr>
      <w:r>
        <w:rPr>
          <w:rFonts w:ascii="宋体" w:hAnsi="宋体" w:cs="宋体"/>
          <w:b/>
          <w:bCs/>
          <w:color w:val="auto"/>
          <w:kern w:val="0"/>
          <w:sz w:val="24"/>
        </w:rPr>
        <w:t>供应商有责任检查自身情况，在响应文件中对是否违反以上一般规定做出如实声明，否则其响应文件将被否决。</w:t>
      </w:r>
    </w:p>
    <w:p w14:paraId="678017E5">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3.2特别规定</w:t>
      </w:r>
    </w:p>
    <w:p w14:paraId="691CFD73">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3.2.1供应商的资格要求：详见竞争性谈判须知前附表第1项。</w:t>
      </w:r>
    </w:p>
    <w:p w14:paraId="6AB24159">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3.2.2是否接受联合体形式的响应谈判：详见竞争性谈判须知前附表第2项。若接受联合体形式且供应商为联合体，则联合体各方除了应遵守本章第3.1条规定外，还应遵守下列规定：</w:t>
      </w:r>
    </w:p>
    <w:p w14:paraId="2D3011C3">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（1）联合体各方应提交联合体协议，联合体协议应符合谈判文件规定。</w:t>
      </w:r>
    </w:p>
    <w:p w14:paraId="505607B4">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（2）联合体各方不得再单独参加或与其他供应商另外组成联合体参加同一合同项下的响应谈判。</w:t>
      </w:r>
    </w:p>
    <w:p w14:paraId="31D82299">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（3）联合体各方应共同与采购人签订政府采购合同，就政府采购合同约定的事项对采购人承担连带责任。</w:t>
      </w:r>
    </w:p>
    <w:p w14:paraId="30688A0E">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3.2.3若接受联合体形式，单位负责人为同一人或者存在直接控股、管理关系的不同供应商可以组成一个联合体，以一个供应商的身份参加政府采购活动。若不接受联合体形式，则单位负责人为同一人或者存在直接控股、管理关系的不同供应商，不得参加同一合同项下的政府采购活动。</w:t>
      </w:r>
    </w:p>
    <w:p w14:paraId="510A8911">
      <w:pPr>
        <w:widowControl/>
        <w:spacing w:before="75" w:after="75" w:line="435" w:lineRule="atLeast"/>
        <w:jc w:val="left"/>
        <w:rPr>
          <w:rFonts w:ascii="宋体" w:hAnsi="宋体" w:cs="宋体"/>
          <w:color w:val="auto"/>
          <w:kern w:val="0"/>
          <w:sz w:val="24"/>
        </w:rPr>
      </w:pPr>
      <w:r>
        <w:rPr>
          <w:rFonts w:ascii="宋体" w:hAnsi="宋体" w:cs="宋体"/>
          <w:b/>
          <w:bCs/>
          <w:color w:val="auto"/>
          <w:kern w:val="0"/>
          <w:sz w:val="24"/>
        </w:rPr>
        <w:t>4.参与竞争性谈判费用：</w:t>
      </w:r>
    </w:p>
    <w:p w14:paraId="415E0D30">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4.1除法律法规或采购文件另有规定之外，供应商应自行承担其准备与参加竞争性谈判所涉及的一切费用。</w:t>
      </w:r>
    </w:p>
    <w:p w14:paraId="6732AF56">
      <w:pPr>
        <w:widowControl/>
        <w:spacing w:before="75" w:after="75" w:line="435" w:lineRule="atLeast"/>
        <w:jc w:val="center"/>
        <w:rPr>
          <w:rFonts w:ascii="宋体" w:hAnsi="宋体" w:cs="宋体"/>
          <w:color w:val="auto"/>
          <w:kern w:val="0"/>
          <w:sz w:val="24"/>
        </w:rPr>
      </w:pPr>
      <w:r>
        <w:rPr>
          <w:rFonts w:ascii="宋体" w:hAnsi="宋体" w:cs="宋体"/>
          <w:color w:val="auto"/>
          <w:kern w:val="0"/>
          <w:sz w:val="24"/>
        </w:rPr>
        <w:t> </w:t>
      </w:r>
    </w:p>
    <w:p w14:paraId="321F87C1">
      <w:pPr>
        <w:widowControl/>
        <w:spacing w:before="75" w:after="75" w:line="435" w:lineRule="atLeast"/>
        <w:jc w:val="center"/>
        <w:rPr>
          <w:rFonts w:ascii="宋体" w:hAnsi="宋体" w:cs="宋体"/>
          <w:color w:val="auto"/>
          <w:kern w:val="0"/>
          <w:sz w:val="24"/>
        </w:rPr>
      </w:pPr>
      <w:r>
        <w:rPr>
          <w:rFonts w:ascii="宋体" w:hAnsi="宋体" w:cs="宋体"/>
          <w:b/>
          <w:bCs/>
          <w:color w:val="auto"/>
          <w:kern w:val="0"/>
          <w:sz w:val="24"/>
        </w:rPr>
        <w:t>二、竞争性谈判文件</w:t>
      </w:r>
    </w:p>
    <w:p w14:paraId="0EDF309C">
      <w:pPr>
        <w:widowControl/>
        <w:spacing w:before="75" w:after="75" w:line="435" w:lineRule="atLeast"/>
        <w:jc w:val="center"/>
        <w:rPr>
          <w:rFonts w:ascii="宋体" w:hAnsi="宋体" w:cs="宋体"/>
          <w:color w:val="auto"/>
          <w:kern w:val="0"/>
          <w:sz w:val="24"/>
        </w:rPr>
      </w:pPr>
      <w:r>
        <w:rPr>
          <w:rFonts w:ascii="宋体" w:hAnsi="宋体" w:cs="宋体"/>
          <w:b/>
          <w:bCs/>
          <w:color w:val="auto"/>
          <w:kern w:val="0"/>
          <w:sz w:val="24"/>
        </w:rPr>
        <w:t> </w:t>
      </w:r>
    </w:p>
    <w:p w14:paraId="29F17160">
      <w:pPr>
        <w:widowControl/>
        <w:spacing w:before="75" w:after="75" w:line="435" w:lineRule="atLeast"/>
        <w:jc w:val="left"/>
        <w:rPr>
          <w:rFonts w:ascii="宋体" w:hAnsi="宋体" w:cs="宋体"/>
          <w:color w:val="auto"/>
          <w:kern w:val="0"/>
          <w:sz w:val="24"/>
        </w:rPr>
      </w:pPr>
      <w:r>
        <w:rPr>
          <w:rFonts w:ascii="宋体" w:hAnsi="宋体" w:cs="宋体"/>
          <w:b/>
          <w:bCs/>
          <w:color w:val="auto"/>
          <w:kern w:val="0"/>
          <w:sz w:val="24"/>
        </w:rPr>
        <w:t>5.竞争性谈判文件的组成：</w:t>
      </w:r>
    </w:p>
    <w:p w14:paraId="07336B12">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5.1竞争性谈判文件由下述部分组成：</w:t>
      </w:r>
    </w:p>
    <w:p w14:paraId="4B3394D4">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第一章 采购公告（或采购邀请书）</w:t>
      </w:r>
    </w:p>
    <w:p w14:paraId="4C382CA9">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第二章 竞争性谈判须知</w:t>
      </w:r>
    </w:p>
    <w:p w14:paraId="12D4F807">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第三章 采购内容及要求</w:t>
      </w:r>
    </w:p>
    <w:p w14:paraId="6A5F9548">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第四章 合同主要条款及格式</w:t>
      </w:r>
    </w:p>
    <w:p w14:paraId="27964712">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第五章 首次响应文件格式</w:t>
      </w:r>
    </w:p>
    <w:p w14:paraId="284DE726">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5.2除上述内容以外，采购人、采购代理机构或者谈判小组在采购过程期间对谈判文件所作的澄清、修改或补充，均构成谈判文件的组成部分，对采购人和供应商具有约束力。</w:t>
      </w:r>
    </w:p>
    <w:p w14:paraId="1744B0A8">
      <w:pPr>
        <w:widowControl/>
        <w:spacing w:before="75" w:after="75" w:line="435" w:lineRule="atLeast"/>
        <w:jc w:val="left"/>
        <w:rPr>
          <w:rFonts w:ascii="宋体" w:hAnsi="宋体" w:cs="宋体"/>
          <w:color w:val="auto"/>
          <w:kern w:val="0"/>
          <w:sz w:val="24"/>
        </w:rPr>
      </w:pPr>
      <w:r>
        <w:rPr>
          <w:rFonts w:ascii="宋体" w:hAnsi="宋体" w:cs="宋体"/>
          <w:b/>
          <w:bCs/>
          <w:color w:val="auto"/>
          <w:kern w:val="0"/>
          <w:sz w:val="24"/>
        </w:rPr>
        <w:t>6.竞争性谈判文件的澄清、补充或修改：</w:t>
      </w:r>
    </w:p>
    <w:p w14:paraId="70B6C7FD">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6.1提交首次响应文件截止之日前，采购人、采购代理机构或者谈判小组可以对已发出的谈判文件进行必要的澄清、补充或者修改，澄清、补充或者修改的内容作为谈判文件的组成部分。澄清、补充或者修改的内容可能影响响应文件编制的，采购人、采购代理机构或者谈判小组将在提交首次响应文件截止时间3个工作日前，以书面形式通知所有获取谈判文件的潜在供应商，不足3个工作日的，采购人、采购代理机构或谈判小组将顺延提交首次响应文件的截止时间。</w:t>
      </w:r>
    </w:p>
    <w:p w14:paraId="6E2BA8FA">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6.2提交首次响应文件截止时间前，若采购人发布更正公告，则更正公告及其所发布的内容或信息（包括但不限于竞争性谈判文件的澄清、补充或修改等）作为谈判文件组成部分，对采购人和供应商具有约束力。更正公告作为采购人、采购代理机构或谈判小组通知所有潜在供应商的书面形式，潜在供应商务必随时关注谈判文件中载明的指定媒体，以免遗漏。</w:t>
      </w:r>
    </w:p>
    <w:p w14:paraId="5074A5BF">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w:t>
      </w:r>
    </w:p>
    <w:p w14:paraId="3AD077A5">
      <w:pPr>
        <w:widowControl/>
        <w:spacing w:before="75" w:after="75" w:line="435" w:lineRule="atLeast"/>
        <w:jc w:val="center"/>
        <w:rPr>
          <w:rFonts w:ascii="宋体" w:hAnsi="宋体" w:cs="宋体"/>
          <w:color w:val="auto"/>
          <w:kern w:val="0"/>
          <w:sz w:val="24"/>
        </w:rPr>
      </w:pPr>
      <w:r>
        <w:rPr>
          <w:rFonts w:ascii="宋体" w:hAnsi="宋体" w:cs="宋体"/>
          <w:b/>
          <w:bCs/>
          <w:color w:val="auto"/>
          <w:kern w:val="0"/>
          <w:sz w:val="24"/>
        </w:rPr>
        <w:t>三、响应文件编制</w:t>
      </w:r>
    </w:p>
    <w:p w14:paraId="6DBC7845">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 </w:t>
      </w:r>
    </w:p>
    <w:p w14:paraId="6AE4A0DD">
      <w:pPr>
        <w:widowControl/>
        <w:spacing w:before="75" w:after="75" w:line="435" w:lineRule="atLeast"/>
        <w:jc w:val="left"/>
        <w:rPr>
          <w:rFonts w:ascii="宋体" w:hAnsi="宋体" w:cs="宋体"/>
          <w:color w:val="auto"/>
          <w:kern w:val="0"/>
          <w:sz w:val="24"/>
        </w:rPr>
      </w:pPr>
      <w:r>
        <w:rPr>
          <w:rFonts w:ascii="宋体" w:hAnsi="宋体" w:cs="宋体"/>
          <w:b/>
          <w:bCs/>
          <w:color w:val="auto"/>
          <w:kern w:val="0"/>
          <w:sz w:val="24"/>
        </w:rPr>
        <w:t>7.应标要求</w:t>
      </w:r>
    </w:p>
    <w:p w14:paraId="2A657FB2">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7.1供应商可按照合同包号，对竞争性谈判文件中载明的全部或部分合同包进行响应。对于能够详细列明采购标的技术、服务要求的采购项目，供应商响应时，对同一个合同包内所有的采购内容和要求必须进行完整响应，</w:t>
      </w:r>
      <w:r>
        <w:rPr>
          <w:rFonts w:ascii="宋体" w:hAnsi="宋体" w:cs="宋体"/>
          <w:b/>
          <w:bCs/>
          <w:color w:val="auto"/>
          <w:kern w:val="0"/>
          <w:sz w:val="24"/>
        </w:rPr>
        <w:t>否则其相应合同包的响应文件将被否决。</w:t>
      </w:r>
    </w:p>
    <w:p w14:paraId="3EE37484">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7.2供应商代表在同一个合同项下只能接受一个供应商的委托参加响应谈判，</w:t>
      </w:r>
      <w:r>
        <w:rPr>
          <w:rFonts w:ascii="宋体" w:hAnsi="宋体" w:cs="宋体"/>
          <w:b/>
          <w:bCs/>
          <w:color w:val="auto"/>
          <w:kern w:val="0"/>
          <w:sz w:val="24"/>
        </w:rPr>
        <w:t>否则其响应文件将被否决。</w:t>
      </w:r>
    </w:p>
    <w:p w14:paraId="2AFA05EE">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7.3供应商应仔细阅读谈判文件的所有内容和要求，按谈判文件的规定提供响应文件，并对其所提供的全部资料、承诺和声明的真实性、合法性和准确性负责。</w:t>
      </w:r>
    </w:p>
    <w:p w14:paraId="020E4D4E">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7.4除非竞争性谈判须知前附表另有规定外，供应商提供的响应文件应使用中文文本，若有不同文字文本，以中文文本为准。</w:t>
      </w:r>
    </w:p>
    <w:p w14:paraId="41908B16">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7.5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2FBB00BF">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7.6除非竞争性谈判须知前附表另有规定外，供应商承诺的报价应以人民币进行报价，合同实施结算时亦以人民币支付；所有计量均采用中华人民共和国法定计量单位。</w:t>
      </w:r>
    </w:p>
    <w:p w14:paraId="7EE08028">
      <w:pPr>
        <w:widowControl/>
        <w:spacing w:before="75" w:after="75" w:line="435" w:lineRule="atLeast"/>
        <w:jc w:val="left"/>
        <w:rPr>
          <w:rFonts w:ascii="宋体" w:hAnsi="宋体" w:cs="宋体"/>
          <w:color w:val="auto"/>
          <w:kern w:val="0"/>
          <w:sz w:val="24"/>
        </w:rPr>
      </w:pPr>
      <w:r>
        <w:rPr>
          <w:rFonts w:ascii="宋体" w:hAnsi="宋体" w:cs="宋体"/>
          <w:b/>
          <w:bCs/>
          <w:color w:val="auto"/>
          <w:kern w:val="0"/>
          <w:sz w:val="24"/>
        </w:rPr>
        <w:t>8.首次响应文件的组成：</w:t>
      </w:r>
    </w:p>
    <w:p w14:paraId="49F6D43D">
      <w:pPr>
        <w:widowControl/>
        <w:spacing w:before="75" w:after="75" w:line="435" w:lineRule="atLeast"/>
        <w:ind w:firstLine="480" w:firstLineChars="200"/>
        <w:jc w:val="left"/>
        <w:rPr>
          <w:rFonts w:ascii="宋体" w:hAnsi="宋体"/>
          <w:color w:val="auto"/>
          <w:sz w:val="24"/>
        </w:rPr>
      </w:pPr>
      <w:r>
        <w:rPr>
          <w:rFonts w:hint="eastAsia" w:ascii="宋体" w:hAnsi="宋体"/>
          <w:color w:val="auto"/>
          <w:sz w:val="24"/>
        </w:rPr>
        <w:t>（1）谈判响应声明</w:t>
      </w:r>
    </w:p>
    <w:p w14:paraId="24E0AAA6">
      <w:pPr>
        <w:widowControl/>
        <w:spacing w:before="75" w:after="75" w:line="435" w:lineRule="atLeast"/>
        <w:ind w:firstLine="480" w:firstLineChars="200"/>
        <w:jc w:val="left"/>
        <w:rPr>
          <w:rFonts w:ascii="宋体" w:hAnsi="宋体"/>
          <w:color w:val="auto"/>
          <w:sz w:val="24"/>
        </w:rPr>
      </w:pPr>
      <w:r>
        <w:rPr>
          <w:rFonts w:hint="eastAsia" w:ascii="宋体" w:hAnsi="宋体"/>
          <w:color w:val="auto"/>
          <w:sz w:val="24"/>
        </w:rPr>
        <w:t>（2）报价一览表（含详细报价书）</w:t>
      </w:r>
    </w:p>
    <w:p w14:paraId="3E1F85D1">
      <w:pPr>
        <w:widowControl/>
        <w:spacing w:before="75" w:after="75" w:line="435" w:lineRule="atLeast"/>
        <w:ind w:firstLine="480" w:firstLineChars="200"/>
        <w:jc w:val="left"/>
        <w:rPr>
          <w:rFonts w:ascii="宋体" w:hAnsi="宋体"/>
          <w:color w:val="auto"/>
          <w:sz w:val="24"/>
        </w:rPr>
      </w:pPr>
      <w:r>
        <w:rPr>
          <w:rFonts w:hint="eastAsia" w:ascii="宋体" w:hAnsi="宋体"/>
          <w:color w:val="auto"/>
          <w:sz w:val="24"/>
        </w:rPr>
        <w:t>（3）资格证明文件</w:t>
      </w:r>
    </w:p>
    <w:p w14:paraId="0AE431F0">
      <w:pPr>
        <w:widowControl/>
        <w:spacing w:before="75" w:after="75" w:line="435" w:lineRule="atLeast"/>
        <w:ind w:firstLine="480" w:firstLineChars="200"/>
        <w:jc w:val="left"/>
        <w:rPr>
          <w:rFonts w:ascii="宋体" w:hAnsi="宋体"/>
          <w:color w:val="auto"/>
          <w:sz w:val="24"/>
        </w:rPr>
      </w:pPr>
      <w:r>
        <w:rPr>
          <w:rFonts w:hint="eastAsia" w:ascii="宋体" w:hAnsi="宋体"/>
          <w:color w:val="auto"/>
          <w:sz w:val="24"/>
        </w:rPr>
        <w:t>（4）谈判保证金凭证</w:t>
      </w:r>
    </w:p>
    <w:p w14:paraId="7ACEFD27">
      <w:pPr>
        <w:widowControl/>
        <w:spacing w:before="75" w:after="75" w:line="435" w:lineRule="atLeast"/>
        <w:ind w:firstLine="480" w:firstLineChars="200"/>
        <w:jc w:val="left"/>
        <w:rPr>
          <w:rFonts w:ascii="宋体" w:hAnsi="宋体"/>
          <w:color w:val="auto"/>
          <w:sz w:val="24"/>
        </w:rPr>
      </w:pPr>
      <w:r>
        <w:rPr>
          <w:rFonts w:hint="eastAsia" w:ascii="宋体" w:hAnsi="宋体"/>
          <w:color w:val="auto"/>
          <w:sz w:val="24"/>
        </w:rPr>
        <w:t>（5）技术和商务偏离表</w:t>
      </w:r>
    </w:p>
    <w:p w14:paraId="5ED6395B">
      <w:pPr>
        <w:widowControl/>
        <w:spacing w:before="75" w:after="75" w:line="435" w:lineRule="atLeast"/>
        <w:ind w:firstLine="480" w:firstLineChars="200"/>
        <w:jc w:val="left"/>
        <w:rPr>
          <w:rFonts w:ascii="宋体" w:hAnsi="宋体"/>
          <w:color w:val="auto"/>
          <w:sz w:val="24"/>
        </w:rPr>
      </w:pPr>
      <w:r>
        <w:rPr>
          <w:rFonts w:hint="eastAsia" w:ascii="宋体" w:hAnsi="宋体"/>
          <w:color w:val="auto"/>
          <w:sz w:val="24"/>
        </w:rPr>
        <w:t>（6）相关技术、商务、服务响应承诺及资料</w:t>
      </w:r>
    </w:p>
    <w:p w14:paraId="78967012">
      <w:pPr>
        <w:widowControl/>
        <w:spacing w:before="75" w:after="75" w:line="435" w:lineRule="atLeast"/>
        <w:ind w:firstLine="480" w:firstLineChars="200"/>
        <w:jc w:val="left"/>
        <w:rPr>
          <w:rFonts w:ascii="宋体" w:hAnsi="宋体"/>
          <w:color w:val="auto"/>
          <w:sz w:val="24"/>
        </w:rPr>
      </w:pPr>
      <w:r>
        <w:rPr>
          <w:rFonts w:hint="eastAsia" w:ascii="宋体" w:hAnsi="宋体"/>
          <w:color w:val="auto"/>
          <w:sz w:val="24"/>
        </w:rPr>
        <w:t>（7）供应商提交符合政府采购政策的证明材料</w:t>
      </w:r>
    </w:p>
    <w:p w14:paraId="5F112BD7">
      <w:pPr>
        <w:widowControl/>
        <w:spacing w:before="75" w:after="75" w:line="435" w:lineRule="atLeast"/>
        <w:ind w:firstLine="480" w:firstLineChars="200"/>
        <w:jc w:val="left"/>
        <w:rPr>
          <w:rFonts w:ascii="宋体" w:hAnsi="宋体"/>
          <w:color w:val="auto"/>
          <w:sz w:val="24"/>
        </w:rPr>
      </w:pPr>
      <w:r>
        <w:rPr>
          <w:rFonts w:hint="eastAsia" w:ascii="宋体" w:hAnsi="宋体"/>
          <w:color w:val="auto"/>
          <w:sz w:val="24"/>
        </w:rPr>
        <w:t>（8）要求作为响应文件组成部分的其他内容（若有）</w:t>
      </w:r>
    </w:p>
    <w:p w14:paraId="7439E5ED">
      <w:pPr>
        <w:widowControl/>
        <w:spacing w:before="75" w:after="75" w:line="435" w:lineRule="atLeast"/>
        <w:jc w:val="left"/>
        <w:rPr>
          <w:rFonts w:ascii="宋体" w:hAnsi="宋体" w:cs="宋体"/>
          <w:color w:val="auto"/>
          <w:kern w:val="0"/>
          <w:sz w:val="24"/>
        </w:rPr>
      </w:pPr>
      <w:r>
        <w:rPr>
          <w:rFonts w:ascii="宋体" w:hAnsi="宋体" w:cs="宋体"/>
          <w:b/>
          <w:bCs/>
          <w:color w:val="auto"/>
          <w:kern w:val="0"/>
          <w:sz w:val="24"/>
        </w:rPr>
        <w:t>9.响应文件有效期：</w:t>
      </w:r>
    </w:p>
    <w:p w14:paraId="1A90E220">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9.1响应文件有效期见竞争性谈判须知前附表第3项，响应文件承诺的有效期不得少于谈判文件载明的有效期，</w:t>
      </w:r>
      <w:r>
        <w:rPr>
          <w:rFonts w:ascii="宋体" w:hAnsi="宋体" w:cs="宋体"/>
          <w:b/>
          <w:bCs/>
          <w:color w:val="auto"/>
          <w:kern w:val="0"/>
          <w:sz w:val="24"/>
        </w:rPr>
        <w:t>否则其响应文件将被否决。</w:t>
      </w:r>
    </w:p>
    <w:p w14:paraId="58331939">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9.2特殊情况下采购人可于响应文件有效期满之前要求供应商同意延长有效期，要求与答复均应为书面形式。供应商可以拒绝延长有效期，且其谈判保证金可以退还，但其供应商资格将被取消。同意延长有效期的供应商，不需要也不允许修改其响应文件及谈判承诺，但将要求其相应延长谈判保证金有效期，有关退还和不予退还谈判保证金的规定在有效期延长期内继续有效。</w:t>
      </w:r>
    </w:p>
    <w:p w14:paraId="70669161">
      <w:pPr>
        <w:widowControl/>
        <w:spacing w:before="75" w:after="75" w:line="435" w:lineRule="atLeast"/>
        <w:jc w:val="left"/>
        <w:rPr>
          <w:rFonts w:ascii="宋体" w:hAnsi="宋体" w:cs="宋体"/>
          <w:color w:val="auto"/>
          <w:kern w:val="0"/>
          <w:sz w:val="24"/>
        </w:rPr>
      </w:pPr>
      <w:r>
        <w:rPr>
          <w:rFonts w:ascii="宋体" w:hAnsi="宋体" w:cs="宋体"/>
          <w:b/>
          <w:bCs/>
          <w:color w:val="auto"/>
          <w:kern w:val="0"/>
          <w:sz w:val="24"/>
        </w:rPr>
        <w:t>10.谈判保证金：</w:t>
      </w:r>
    </w:p>
    <w:p w14:paraId="495BD3BF">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10.1供应商应在参加竞争性谈判之前按竞争性谈判须知前附表第4项规定的金额、形式等要求提交谈判保证金。谈判文件若接受联合体形式且供应商为联合体的，则由联合体中的牵头方负责提交谈判保证金，其提交的谈判保证金对联合体各方均具有约束力。</w:t>
      </w:r>
    </w:p>
    <w:p w14:paraId="3E4E9075">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10.2谈判保证金为响应文件的重要组成部分之一。谈判保证金用于保护本次谈判活动免受供应商的违约或失信行为而引起的风险。未按规定提交谈判保证金的，</w:t>
      </w:r>
      <w:r>
        <w:rPr>
          <w:rFonts w:ascii="宋体" w:hAnsi="宋体" w:cs="宋体"/>
          <w:b/>
          <w:bCs/>
          <w:color w:val="auto"/>
          <w:kern w:val="0"/>
          <w:sz w:val="24"/>
        </w:rPr>
        <w:t>其响应文件将被否决。</w:t>
      </w:r>
    </w:p>
    <w:p w14:paraId="0EBD6DAC">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10.3谈判保证金退还：</w:t>
      </w:r>
    </w:p>
    <w:p w14:paraId="53763BF9">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10.3.1采购人或者采购代理机构将在采购活动结束后及时退还供应商的保证金，但因供应商自身原因导致无法及时退还的除外（比如：采购人委托代理机构组织谈判采购，成交的供应商未向采购代理机构出具已签订合同证明材料，造成谈判保证金退还时间延误的结果，由成交的供应商自行承担和谅解等）。未成交供应商的保证金将在成交通知书发出后5个工作日内退还，成交供应商的保证金将在采购合同签订后5个工作日内退还。关于谈判保证金退还的其它要求见竞争性谈判须知前附表第5项。</w:t>
      </w:r>
    </w:p>
    <w:p w14:paraId="249B9EB8">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10.3.2质疑或投诉涉及的供应商，若其谈判保证金尚未退还，则待质疑或投诉处理完毕后，且没有发生法律法规或者谈判文件规定的不予退还谈判保证金情形，则由采购人或采购代理机构给予及时退还。</w:t>
      </w:r>
    </w:p>
    <w:p w14:paraId="47A15D57">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10.4如果供应商发生以下任何一种情况时，其谈判保证金将被不予退还：</w:t>
      </w:r>
    </w:p>
    <w:p w14:paraId="36D1437F">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(1)供应商在提交响应文件截止时间后撤回响应文件的；</w:t>
      </w:r>
    </w:p>
    <w:p w14:paraId="2EA6B17E">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(2)供应商在响应文件中提供虚假材料的；</w:t>
      </w:r>
    </w:p>
    <w:p w14:paraId="5F2988E8">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(3)除因不可抗力或谈判文件认可的情形以外，成交供应商不与采购人签订合同的；</w:t>
      </w:r>
    </w:p>
    <w:p w14:paraId="256C80E1">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(4)供应商与采购人、其他供应商或者采购代理机构恶意串通的；</w:t>
      </w:r>
    </w:p>
    <w:p w14:paraId="0AF42357">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(5)供应商在提交最后报价后要求退出谈判的；</w:t>
      </w:r>
    </w:p>
    <w:p w14:paraId="4EA9C223">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(6)供应商假借以他人名义参加谈判或者以其他方式弄虚作假，骗取成交；</w:t>
      </w:r>
    </w:p>
    <w:p w14:paraId="2C8F02CC">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(7)国家法律法规以及谈判文件中规定的其他谈判保证金不予退还的情形。</w:t>
      </w:r>
    </w:p>
    <w:p w14:paraId="1F801C66">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上述不予退还谈判保证金的情况不能抵偿给采购人或采购代理机构造成损失的，供应商还要承担赔偿责任。</w:t>
      </w:r>
    </w:p>
    <w:p w14:paraId="4FC72490">
      <w:pPr>
        <w:widowControl/>
        <w:spacing w:before="75" w:after="75" w:line="435" w:lineRule="atLeast"/>
        <w:jc w:val="left"/>
        <w:rPr>
          <w:rFonts w:ascii="宋体" w:hAnsi="宋体" w:cs="宋体"/>
          <w:color w:val="auto"/>
          <w:kern w:val="0"/>
          <w:sz w:val="24"/>
        </w:rPr>
      </w:pPr>
      <w:r>
        <w:rPr>
          <w:rFonts w:ascii="宋体" w:hAnsi="宋体" w:cs="宋体"/>
          <w:b/>
          <w:bCs/>
          <w:color w:val="auto"/>
          <w:kern w:val="0"/>
          <w:sz w:val="24"/>
        </w:rPr>
        <w:t>11.纸质响应文件基本编制要求：</w:t>
      </w:r>
    </w:p>
    <w:p w14:paraId="32534127">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11.1供应商须编制由本须知规定组成的响应文件正副本份数详见竞争性谈判须知前附表第6项。响应文件正本和全部副本均应使用不能擦去的墨料或墨水打印、书写或复印，副本可以用正本的完整复印件。响应文件封面上应标明“正本”、“副本”字样。正本与副本内容如有不一致，则以正本为准。</w:t>
      </w:r>
    </w:p>
    <w:p w14:paraId="5BFB0EFD">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11.2响应文件应由供应商代表签字并加盖公章。供应商代表如果不是竞争性谈判须知中定义的“单位负责人”，则其响应文件中还必须提供“单位负责人授权书”。</w:t>
      </w:r>
    </w:p>
    <w:p w14:paraId="6044BA28">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11.3响应文件应尽量避免涂改、行间插字或删除。如果出现上述情况，改动之处应加盖供应商单位公章或由供应商代表签字确认。</w:t>
      </w:r>
    </w:p>
    <w:p w14:paraId="062E09CE">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11.4供应商应提交证明其拟提供货物、服务或工程符合谈判文件要求的技术和商务响应文件，该文件可以是文字资料、图纸和数据，并对拟提供的货物、服务或工程的主要内容进行详细描述。</w:t>
      </w:r>
    </w:p>
    <w:p w14:paraId="55A44262">
      <w:pPr>
        <w:widowControl/>
        <w:spacing w:before="75" w:after="75" w:line="435" w:lineRule="atLeast"/>
        <w:jc w:val="left"/>
        <w:rPr>
          <w:rFonts w:ascii="宋体" w:hAnsi="宋体" w:cs="宋体"/>
          <w:b/>
          <w:bCs/>
          <w:color w:val="auto"/>
          <w:kern w:val="0"/>
          <w:sz w:val="24"/>
        </w:rPr>
      </w:pPr>
      <w:r>
        <w:rPr>
          <w:rFonts w:ascii="宋体" w:hAnsi="宋体" w:cs="宋体"/>
          <w:b/>
          <w:bCs/>
          <w:color w:val="auto"/>
          <w:kern w:val="0"/>
          <w:sz w:val="24"/>
        </w:rPr>
        <w:t>12.纸质响应文件的密封、标识、签署和提交</w:t>
      </w:r>
    </w:p>
    <w:p w14:paraId="0C8E2802">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12.1供应商应当将响应文件密封包装提交，并在外封套上标识项目名称、项目编号、供应商单位名称以及“于</w:t>
      </w:r>
      <w:r>
        <w:rPr>
          <w:rFonts w:hint="eastAsia" w:ascii="宋体" w:hAnsi="宋体" w:cs="宋体"/>
          <w:color w:val="auto"/>
          <w:kern w:val="0"/>
          <w:sz w:val="24"/>
          <w:lang w:val="en-US" w:eastAsia="zh-CN"/>
        </w:rPr>
        <w:t xml:space="preserve"> </w:t>
      </w:r>
      <w:r>
        <w:rPr>
          <w:rFonts w:ascii="宋体" w:hAnsi="宋体" w:cs="宋体"/>
          <w:color w:val="auto"/>
          <w:kern w:val="0"/>
          <w:sz w:val="24"/>
        </w:rPr>
        <w:t>之前（指首次响应文件递交截止日期及时间）不准启封响应文件”的字样；由于供应商未按照要求对其提交的响应文件进行密封、标识确认等，由此可能产生的后果（包括拒收、误放、遗漏或提前拆封等情形），将由供应商自行承担相应结果，采购人或采购代理机构不承担责任。</w:t>
      </w:r>
    </w:p>
    <w:p w14:paraId="75CF0B8D">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12.2供应商应当在谈判文件规定的提交响应文件截止时间前，将首次响应文件密封送达谈判文件规定的指定地点。在截止时间后送达的首次响应文件为无效文件，采购人、采购代理机构或者谈判小组将不予接收。</w:t>
      </w:r>
    </w:p>
    <w:p w14:paraId="745A3D28">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12.3供应商在首次响应文件递交截止时间前，可以对其所提交的响应文件进行补充、修改或者撤回，并书面通知采购人、采购代理机构或谈判小组。补充、修改的内容作为响应文件的组成部分。补充、修改的内容与响应文件不一致的，以补充、修改的内容为准。供应商在提交响应文件截止时间前提交的补充、修改或者撤回申请要求，应当以原件书面形式并由供应商代表签署（供应商代表如果不是竞争性谈判须知中定义的“单位负责人”，则还必须提供“单位负责人授权书”），或者加盖供应商单位公章方可生效，否则采购人、采购代理机构或谈判小组将视为无效补充、修改或者撤回。采购人、采购代理机构或谈判小组不接受供应商口头、电话、传真或电子邮件形式提交的补充、修改或者撤回。</w:t>
      </w:r>
    </w:p>
    <w:p w14:paraId="3B90379C">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12.4供应商在谈判过程中根据谈判小组要求，提交的有关澄清、说明、补充、更正响应文件以及最后报价响应文件等资料，均应由供应商代表签署（供应商代表如果不是竞争性谈判须知中定义的“单位负责人”，则还必须提供“单位负责人授权书”），或者加盖供应商单位公章。</w:t>
      </w:r>
    </w:p>
    <w:p w14:paraId="6A69ACC0">
      <w:pPr>
        <w:widowControl/>
        <w:spacing w:before="75" w:after="75" w:line="435" w:lineRule="atLeast"/>
        <w:jc w:val="left"/>
        <w:rPr>
          <w:rFonts w:hint="eastAsia" w:ascii="宋体" w:hAnsi="宋体" w:eastAsia="宋体" w:cs="宋体"/>
          <w:color w:val="auto"/>
          <w:kern w:val="0"/>
          <w:sz w:val="24"/>
          <w:lang w:eastAsia="zh-CN"/>
        </w:rPr>
      </w:pPr>
      <w:r>
        <w:rPr>
          <w:rFonts w:ascii="宋体" w:hAnsi="宋体" w:cs="宋体"/>
          <w:color w:val="auto"/>
          <w:kern w:val="0"/>
          <w:sz w:val="24"/>
        </w:rPr>
        <w:t>  12.5除《政府采购非招标采购方式管理办法》等相关法律法规及财政部门颁布的规范性文件允许的两家供应商进行竞争性谈判采购情形外，首次响应文件递交截止时间后，提交响应文件的供应商不足三家的，本次竞争性谈判活动终止，除采购任务取消情形外，采购人将依法重新组织采购或者采取其他方式采购。</w:t>
      </w:r>
      <w:r>
        <w:rPr>
          <w:rFonts w:hint="eastAsia" w:ascii="宋体" w:hAnsi="宋体" w:cs="宋体"/>
          <w:b/>
          <w:bCs/>
          <w:color w:val="auto"/>
          <w:kern w:val="0"/>
          <w:sz w:val="24"/>
          <w:lang w:eastAsia="zh-CN"/>
        </w:rPr>
        <w:t>【本项目因流标</w:t>
      </w:r>
      <w:r>
        <w:rPr>
          <w:rFonts w:hint="eastAsia" w:ascii="宋体" w:hAnsi="宋体" w:cs="宋体"/>
          <w:b/>
          <w:bCs/>
          <w:color w:val="auto"/>
          <w:kern w:val="0"/>
          <w:sz w:val="24"/>
          <w:lang w:val="en-US" w:eastAsia="zh-CN"/>
        </w:rPr>
        <w:t>一</w:t>
      </w:r>
      <w:r>
        <w:rPr>
          <w:rFonts w:hint="eastAsia" w:ascii="宋体" w:hAnsi="宋体" w:cs="宋体"/>
          <w:b/>
          <w:bCs/>
          <w:color w:val="auto"/>
          <w:kern w:val="0"/>
          <w:sz w:val="24"/>
          <w:lang w:eastAsia="zh-CN"/>
        </w:rPr>
        <w:t>次，依据相关规定，允许两家供应商进行竞争性谈判。】</w:t>
      </w:r>
    </w:p>
    <w:p w14:paraId="110C2A50">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w:t>
      </w:r>
    </w:p>
    <w:p w14:paraId="67B42E34">
      <w:pPr>
        <w:widowControl/>
        <w:spacing w:before="75" w:after="75" w:line="435" w:lineRule="atLeast"/>
        <w:jc w:val="center"/>
        <w:rPr>
          <w:rFonts w:ascii="宋体" w:hAnsi="宋体" w:cs="宋体"/>
          <w:color w:val="auto"/>
          <w:kern w:val="0"/>
          <w:sz w:val="24"/>
        </w:rPr>
      </w:pPr>
      <w:r>
        <w:rPr>
          <w:rFonts w:ascii="宋体" w:hAnsi="宋体" w:cs="宋体"/>
          <w:b/>
          <w:bCs/>
          <w:color w:val="auto"/>
          <w:kern w:val="0"/>
          <w:sz w:val="24"/>
        </w:rPr>
        <w:t>四、竞争性谈判</w:t>
      </w:r>
    </w:p>
    <w:p w14:paraId="6B0E231D">
      <w:pPr>
        <w:widowControl/>
        <w:spacing w:before="75" w:after="75" w:line="435" w:lineRule="atLeast"/>
        <w:jc w:val="left"/>
        <w:rPr>
          <w:rFonts w:ascii="宋体" w:hAnsi="宋体" w:cs="宋体"/>
          <w:color w:val="auto"/>
          <w:kern w:val="0"/>
          <w:sz w:val="24"/>
        </w:rPr>
      </w:pPr>
      <w:r>
        <w:rPr>
          <w:rFonts w:ascii="宋体" w:hAnsi="宋体" w:cs="宋体"/>
          <w:b/>
          <w:bCs/>
          <w:color w:val="auto"/>
          <w:kern w:val="0"/>
          <w:sz w:val="24"/>
        </w:rPr>
        <w:t> </w:t>
      </w:r>
    </w:p>
    <w:p w14:paraId="470FE803">
      <w:pPr>
        <w:widowControl/>
        <w:spacing w:before="75" w:after="75" w:line="435" w:lineRule="atLeast"/>
        <w:jc w:val="left"/>
        <w:rPr>
          <w:rFonts w:ascii="宋体" w:hAnsi="宋体" w:cs="宋体"/>
          <w:color w:val="auto"/>
          <w:kern w:val="0"/>
          <w:sz w:val="24"/>
        </w:rPr>
      </w:pPr>
      <w:r>
        <w:rPr>
          <w:rFonts w:ascii="宋体" w:hAnsi="宋体" w:cs="宋体"/>
          <w:b/>
          <w:bCs/>
          <w:color w:val="auto"/>
          <w:kern w:val="0"/>
          <w:sz w:val="24"/>
        </w:rPr>
        <w:t>13.评审和谈判基本准则</w:t>
      </w:r>
    </w:p>
    <w:p w14:paraId="555B5306">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13.1对所有供应商的评审和谈判，都采用相同的程序和标准。</w:t>
      </w:r>
    </w:p>
    <w:p w14:paraId="07A8297D">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13.2谈判及评审过程将严格按照谈判文件的要求和条件进行，谈判小组将根据供应商的响应文件，按谈判文件规定的谈判程序和评定成交标准进行评审和谈判，并推荐成交候选人。</w:t>
      </w:r>
    </w:p>
    <w:p w14:paraId="1F1B5029">
      <w:pPr>
        <w:widowControl/>
        <w:spacing w:before="75" w:after="75" w:line="435" w:lineRule="atLeast"/>
        <w:jc w:val="left"/>
        <w:rPr>
          <w:rFonts w:ascii="宋体" w:hAnsi="宋体" w:cs="宋体"/>
          <w:color w:val="auto"/>
          <w:kern w:val="0"/>
          <w:sz w:val="24"/>
        </w:rPr>
      </w:pPr>
      <w:r>
        <w:rPr>
          <w:rFonts w:ascii="宋体" w:hAnsi="宋体" w:cs="宋体"/>
          <w:b/>
          <w:bCs/>
          <w:color w:val="auto"/>
          <w:kern w:val="0"/>
          <w:sz w:val="24"/>
        </w:rPr>
        <w:t>14.谈判程序以及评定成交标准</w:t>
      </w:r>
    </w:p>
    <w:p w14:paraId="7DADD50D">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14.1采购人将根据项目的特点依法组建谈判小组。谈判小组将根据谈判文件规定的程序、评定成交标准等内容对供应商进行评审、谈判。</w:t>
      </w:r>
    </w:p>
    <w:p w14:paraId="465F04ED">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14.2 在进入谈判阶段之前，谈判小组将对供应商提交的首次响应文件中资格证明文件以及其他响应文件是否对谈判文件的要求作出实质性响应进行审查。如果供应商资格审查和实质性响应审查不合格，则其响应文件将被谈判小组否决，按无效处理，不进入谈判阶段，谈判小组将告知有关供应商。</w:t>
      </w:r>
    </w:p>
    <w:p w14:paraId="558B6DD9">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14.2.1供应商有下列情况之一者，其提交的响应文件将被视为未实质性响应谈判文件要求，谈判小组将否决其响应文件，按无效处理：</w:t>
      </w:r>
    </w:p>
    <w:p w14:paraId="4850D053">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(1)响应文件中提供的资格证明文件不全的；</w:t>
      </w:r>
    </w:p>
    <w:p w14:paraId="23384C3C">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(2)响应文件未按谈判文件规定由供应商代表签字，或未按谈判文件规定加盖供应商单位公章的；或供应商代表未获得有效授权的；</w:t>
      </w:r>
    </w:p>
    <w:p w14:paraId="761BF9D3">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(3)供应商未按谈判文件规定提交谈判保证金的；</w:t>
      </w:r>
    </w:p>
    <w:p w14:paraId="5D93B80B">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(4)响应文件有效期不满足谈判文件要求的；</w:t>
      </w:r>
    </w:p>
    <w:p w14:paraId="019BBB95">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(5)响应内容与谈判采购内容及要求有重大偏离或保留的，限制了采购人的权利或者减少成交供应商合同项下的义务；（由于谈判项目本身特点，不能详细列明采购标的的技术、服务要求的除外）；</w:t>
      </w:r>
    </w:p>
    <w:p w14:paraId="32ABEA20">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(6)响应文件中附有采购人无法接受的条件的；</w:t>
      </w:r>
    </w:p>
    <w:p w14:paraId="0E63A25D">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(7)不符合谈判文件中规定的其它实质性条款（比如：报价超过了谈判文件规定的最高限价）。</w:t>
      </w:r>
      <w:r>
        <w:rPr>
          <w:rFonts w:ascii="宋体" w:hAnsi="宋体" w:cs="宋体"/>
          <w:color w:val="auto"/>
          <w:kern w:val="0"/>
          <w:sz w:val="24"/>
        </w:rPr>
        <w:br w:type="textWrapping"/>
      </w:r>
      <w:r>
        <w:rPr>
          <w:rFonts w:ascii="宋体" w:hAnsi="宋体" w:cs="宋体"/>
          <w:color w:val="auto"/>
          <w:kern w:val="0"/>
          <w:sz w:val="24"/>
        </w:rPr>
        <w:t>  14.2.2其他情形</w:t>
      </w:r>
      <w:r>
        <w:rPr>
          <w:rFonts w:ascii="宋体" w:hAnsi="宋体" w:cs="宋体"/>
          <w:color w:val="auto"/>
          <w:kern w:val="0"/>
          <w:sz w:val="24"/>
        </w:rPr>
        <w:br w:type="textWrapping"/>
      </w:r>
      <w:r>
        <w:rPr>
          <w:rFonts w:ascii="宋体" w:hAnsi="宋体" w:cs="宋体"/>
          <w:color w:val="auto"/>
          <w:kern w:val="0"/>
          <w:sz w:val="24"/>
        </w:rPr>
        <w:t xml:space="preserve">   </w:t>
      </w:r>
      <w:r>
        <w:rPr>
          <w:rFonts w:ascii="宋体" w:hAnsi="宋体" w:cs="宋体"/>
          <w:b/>
          <w:bCs/>
          <w:color w:val="auto"/>
          <w:kern w:val="0"/>
          <w:sz w:val="24"/>
        </w:rPr>
        <w:t>包：1</w:t>
      </w:r>
      <w:r>
        <w:rPr>
          <w:rFonts w:ascii="宋体" w:hAnsi="宋体" w:cs="宋体"/>
          <w:color w:val="auto"/>
          <w:kern w:val="0"/>
          <w:sz w:val="24"/>
        </w:rPr>
        <w:br w:type="textWrapping"/>
      </w:r>
      <w:r>
        <w:rPr>
          <w:rFonts w:ascii="宋体" w:hAnsi="宋体" w:cs="宋体"/>
          <w:b/>
          <w:bCs/>
          <w:color w:val="auto"/>
          <w:kern w:val="0"/>
          <w:sz w:val="24"/>
        </w:rPr>
        <w:t>         无</w:t>
      </w:r>
    </w:p>
    <w:p w14:paraId="3CFE32A6">
      <w:pPr>
        <w:widowControl/>
        <w:jc w:val="left"/>
        <w:rPr>
          <w:rFonts w:ascii="宋体" w:hAnsi="宋体" w:cs="宋体"/>
          <w:color w:val="auto"/>
          <w:kern w:val="0"/>
          <w:sz w:val="24"/>
        </w:rPr>
      </w:pPr>
    </w:p>
    <w:p w14:paraId="4375E048">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谈判小组决定供应商的响应性只根据响应文件本身的内容，而不寻求其他的外部证据。</w:t>
      </w:r>
    </w:p>
    <w:p w14:paraId="6DA3FDD5">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14.3谈判小组在对供应商进行响应文件资格审查、实质响应性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谈判小组要求供应商澄清、说明或者更正响应文件应当以书面形式作出。</w:t>
      </w:r>
    </w:p>
    <w:p w14:paraId="7092BE7B">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14.4只有资格审查和实质性响应审查合格的供应商才能进入谈判阶段。谈判小组所有成员将集中与单一供应商分别进行谈判，并给予所有参加谈判的合格供应商平等的谈判机会。谈判过程中，谈判小组可以根据谈判文件和谈判情况实质性变动采购需求中的技术、服务要求以及合同草案条款，但不得变动竞争性谈判文件中的其他内容。实质性变动的内容，须经采购人代表确认。谈判过程中对谈判文件作出的实质性变动是谈判文件的有效组成部分，谈判小组将及时以书面形式同时通知所有参加谈判的供应商。根据采购项目的特点和需要，在谈判过程中可能发生实质性变动的内容详见竞争性谈判须知前附表第7项。</w:t>
      </w:r>
    </w:p>
    <w:p w14:paraId="6371D01B">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14.5合格供应商应当按照谈判文件的变动情况和谈判小组的要求提交补充响应文件（首次响应文件中已经提交过的如资格证明文件等资料，不用重新提供），并由供应商代表签字或加盖供应商单位公章。供应商代表如果不是竞争性谈判须知中定义的“单位负责人”，则还必须提供“单位负责人授权书”。供应商为自然人的，应当由本人签字并附身份证明。</w:t>
      </w:r>
    </w:p>
    <w:p w14:paraId="503F2D2C">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14.6谈判文件能够详细列明采购标的的技术、服务要求的，谈判结束后，谈判小组应当要求所有继续参加谈判的供应商在规定时间内提交最后报价。属于《政府采购非招标采购方式管理办法》等相关法律法规及财政部门颁布的规范性文件允许的两家供应商进行竞争性谈判采购情形，则提交最后报价的供应商可以为2家。</w:t>
      </w:r>
    </w:p>
    <w:p w14:paraId="43FA4D0C">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14.7谈判文件不能详细列明采购标的的技术、服务要求，需经谈判由供应商提供最终设计方案或解决方案的，谈判结束后，谈判小组应当按照少数服从多数的原则投票推荐3家以上供应商的设计方案或者解决方案，具体推荐数量和投票细则等内容按照“竞争性谈判须知前附表”中专项附件：“评定成交的标准和方法”的相关条款规定执行，并要求其在规定时间内提交最后报价。属于《政府采购非招标采购方式管理办法》等相关法律法规及财政部门颁布的规范性文件允许的两家供应商进行竞争性谈判采购情形，则提交最后报价的供应商可以为2家。</w:t>
      </w:r>
    </w:p>
    <w:p w14:paraId="2E840719">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14.8最后报价是供应商响应文件的有效组成部分。如果供应商的最后报价明显低于其他最后报价，使得其最后报价有可能影响商品或服务质量或者不能诚信履约的，供应商应当按照谈判小组要求，在规定时间内作出书面说明，必要时提交相关证明材料；供应商不能合理说明其报价合理性的，谈判小组可以做无效响应文件和无效报价处理。</w:t>
      </w:r>
    </w:p>
    <w:p w14:paraId="25E0E508">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14.9谈判小组将从质量和服务均能满足采购文件实质性响应要求的供应商中，按照评审价由低到高的顺序提出3名以上成交候选人，并编写评审报告。属于《政府采购非招标采购方式管理办法》等相关法律法规及财政部门颁布的规范性文件允许的两家供应商进行竞争性谈判采购情形，则可以按照最后报价由低到高的顺序提出2名成交候选人。如果成交候选人出现并列相同的最低评审价，则相应处理方式按照“竞争性谈判须知前附表”中专项附件：“评定成交的标准和方法”的相关条款规定执行。</w:t>
      </w:r>
    </w:p>
    <w:p w14:paraId="7FB70DED">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14.10供应商提交的响应文件和资料将给予保密，但不退回（有关证件或证照的原件除外）。</w:t>
      </w:r>
    </w:p>
    <w:p w14:paraId="0838E874">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 </w:t>
      </w:r>
    </w:p>
    <w:p w14:paraId="0763950C">
      <w:pPr>
        <w:widowControl/>
        <w:spacing w:before="75" w:after="75" w:line="435" w:lineRule="atLeast"/>
        <w:jc w:val="center"/>
        <w:rPr>
          <w:rFonts w:ascii="宋体" w:hAnsi="宋体" w:cs="宋体"/>
          <w:color w:val="auto"/>
          <w:kern w:val="0"/>
          <w:sz w:val="24"/>
        </w:rPr>
      </w:pPr>
      <w:r>
        <w:rPr>
          <w:rFonts w:ascii="宋体" w:hAnsi="宋体" w:cs="宋体"/>
          <w:b/>
          <w:bCs/>
          <w:color w:val="auto"/>
          <w:kern w:val="0"/>
          <w:sz w:val="24"/>
        </w:rPr>
        <w:t>五、合同授予</w:t>
      </w:r>
    </w:p>
    <w:p w14:paraId="4974E8AE">
      <w:pPr>
        <w:widowControl/>
        <w:spacing w:before="75" w:after="75" w:line="435" w:lineRule="atLeast"/>
        <w:jc w:val="center"/>
        <w:rPr>
          <w:rFonts w:ascii="宋体" w:hAnsi="宋体" w:cs="宋体"/>
          <w:color w:val="auto"/>
          <w:kern w:val="0"/>
          <w:sz w:val="24"/>
        </w:rPr>
      </w:pPr>
      <w:r>
        <w:rPr>
          <w:rFonts w:ascii="宋体" w:hAnsi="宋体" w:cs="宋体"/>
          <w:b/>
          <w:bCs/>
          <w:color w:val="auto"/>
          <w:kern w:val="0"/>
          <w:sz w:val="24"/>
        </w:rPr>
        <w:t> </w:t>
      </w:r>
    </w:p>
    <w:p w14:paraId="0F0C0662">
      <w:pPr>
        <w:widowControl/>
        <w:spacing w:before="75" w:after="75" w:line="435" w:lineRule="atLeast"/>
        <w:jc w:val="left"/>
        <w:rPr>
          <w:rFonts w:ascii="宋体" w:hAnsi="宋体" w:cs="宋体"/>
          <w:color w:val="auto"/>
          <w:kern w:val="0"/>
          <w:sz w:val="24"/>
        </w:rPr>
      </w:pPr>
      <w:r>
        <w:rPr>
          <w:rFonts w:ascii="宋体" w:hAnsi="宋体" w:cs="宋体"/>
          <w:b/>
          <w:bCs/>
          <w:color w:val="auto"/>
          <w:kern w:val="0"/>
          <w:sz w:val="24"/>
        </w:rPr>
        <w:t>15.授予合同的准则：</w:t>
      </w:r>
    </w:p>
    <w:p w14:paraId="177D71F9">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15.1除不可抗力等因素外，合同将授予响应文件符合竞争性谈判文件要求，能够圆满地履行合同，且被谈判小组推</w:t>
      </w:r>
      <w:r>
        <w:rPr>
          <w:rFonts w:ascii="宋体" w:hAnsi="宋体" w:cs="宋体"/>
          <w:color w:val="auto"/>
          <w:kern w:val="0"/>
          <w:sz w:val="24"/>
        </w:rPr>
        <w:br w:type="textWrapping"/>
      </w:r>
      <w:r>
        <w:rPr>
          <w:rFonts w:ascii="宋体" w:hAnsi="宋体" w:cs="宋体"/>
          <w:color w:val="auto"/>
          <w:kern w:val="0"/>
          <w:sz w:val="24"/>
        </w:rPr>
        <w:t>荐为第一成交候选人的供应商。</w:t>
      </w:r>
    </w:p>
    <w:p w14:paraId="694F3D4E">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15.2 政府采购合同履行中，采购人需追加与合同标的相同的货物、工程或者服务的，在不改变合同其他条款的前提下，可以与成交供应商协商签订补充合同，但所有补充合同的采购金额不得超过原合同采购金额的百分之十。</w:t>
      </w:r>
    </w:p>
    <w:p w14:paraId="4F7687BD">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15.3为维护国家利益和社会公共利益，最低报价不是被授予合同的绝对保证。</w:t>
      </w:r>
    </w:p>
    <w:p w14:paraId="2C1D8F7F">
      <w:pPr>
        <w:widowControl/>
        <w:spacing w:before="75" w:after="75" w:line="435" w:lineRule="atLeast"/>
        <w:jc w:val="left"/>
        <w:rPr>
          <w:rFonts w:ascii="宋体" w:hAnsi="宋体" w:cs="宋体"/>
          <w:color w:val="auto"/>
          <w:kern w:val="0"/>
          <w:sz w:val="24"/>
        </w:rPr>
      </w:pPr>
      <w:r>
        <w:rPr>
          <w:rFonts w:ascii="宋体" w:hAnsi="宋体" w:cs="宋体"/>
          <w:b/>
          <w:bCs/>
          <w:color w:val="auto"/>
          <w:kern w:val="0"/>
          <w:sz w:val="24"/>
        </w:rPr>
        <w:t>16.确定成交供应在商：</w:t>
      </w:r>
    </w:p>
    <w:p w14:paraId="7B3FD031">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16.1采购人委托代理机构组织竞争性谈判采购活动的，采购代理机构在评审结束后2个工作日内将评审报告送采购人确认。</w:t>
      </w:r>
    </w:p>
    <w:p w14:paraId="76D6CDD0">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16.2采购人在收到评审报告后</w:t>
      </w:r>
      <w:r>
        <w:rPr>
          <w:rFonts w:hint="eastAsia" w:ascii="宋体" w:hAnsi="宋体" w:cs="宋体"/>
          <w:color w:val="auto"/>
          <w:kern w:val="0"/>
          <w:sz w:val="24"/>
        </w:rPr>
        <w:t>3</w:t>
      </w:r>
      <w:r>
        <w:rPr>
          <w:rFonts w:ascii="宋体" w:hAnsi="宋体" w:cs="宋体"/>
          <w:color w:val="auto"/>
          <w:kern w:val="0"/>
          <w:sz w:val="24"/>
        </w:rPr>
        <w:t>个工作日内，从评审报告提出的成交候选人中，根据质量和服务均能满足采购文件实质性响应要求且最后报价评审价最低的原则确定成交供应商，也可以书面授权谈判小组直接确定成交供应商。采购人逾期未确定成交供应商且不提出异议的，视为确定评审报告提出的最后报价评审价最低的供应商为成交供应商。</w:t>
      </w:r>
    </w:p>
    <w:p w14:paraId="61C74009">
      <w:pPr>
        <w:widowControl/>
        <w:spacing w:before="75" w:after="75" w:line="435" w:lineRule="atLeast"/>
        <w:jc w:val="left"/>
        <w:rPr>
          <w:rFonts w:ascii="宋体" w:hAnsi="宋体" w:cs="宋体"/>
          <w:color w:val="auto"/>
          <w:kern w:val="0"/>
          <w:sz w:val="24"/>
        </w:rPr>
      </w:pPr>
      <w:r>
        <w:rPr>
          <w:rFonts w:ascii="宋体" w:hAnsi="宋体" w:cs="宋体"/>
          <w:b/>
          <w:bCs/>
          <w:color w:val="auto"/>
          <w:kern w:val="0"/>
          <w:sz w:val="24"/>
        </w:rPr>
        <w:t>17.成交通知:</w:t>
      </w:r>
    </w:p>
    <w:p w14:paraId="52752F3B">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17.1采购人或者采购代理机构在成交供应商确定后2个工作日内，在指定的媒体上公告成交结果，同时向成交供应商发出成交通知书。采用书面推荐供应商参加采购活动的，还将公告采购人和评审专家的推荐意见。</w:t>
      </w:r>
    </w:p>
    <w:p w14:paraId="7027AD8D">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17.2成交通知书对采购人和成交供应商具有同等法律效力。除不可抗力因素或政策原因外，成交通知书发出后，采购人改变成交结果，或者成交供应商拒绝签订政府采购合同的，均应当承担相应的法律责任。未成交供应商对成交结果公告如果有异议的，应当自成交结果公告刊登之日起7个工作日内，以书面形式向采购人或采购代理机构提出质疑，有关质疑、投诉的相关规定和要求，按照《中华人民共和国政府采购法》、《中华人民共和国政府采购法实施条例》、有关财政部规章等法律文件规定执行。</w:t>
      </w:r>
    </w:p>
    <w:p w14:paraId="0FDCD8A8">
      <w:pPr>
        <w:widowControl/>
        <w:spacing w:before="75" w:after="75" w:line="435" w:lineRule="atLeast"/>
        <w:jc w:val="left"/>
        <w:rPr>
          <w:rFonts w:ascii="宋体" w:hAnsi="宋体" w:cs="宋体"/>
          <w:color w:val="auto"/>
          <w:kern w:val="0"/>
          <w:sz w:val="24"/>
        </w:rPr>
      </w:pPr>
      <w:r>
        <w:rPr>
          <w:rFonts w:ascii="宋体" w:hAnsi="宋体" w:cs="宋体"/>
          <w:b/>
          <w:bCs/>
          <w:color w:val="auto"/>
          <w:kern w:val="0"/>
          <w:sz w:val="24"/>
        </w:rPr>
        <w:t>18.签订合同：</w:t>
      </w:r>
    </w:p>
    <w:p w14:paraId="391CEB08">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18.1采购人与成交供应商应当在成交通知书发出之日起30日内，按照采购文件确定的合同文本以及采购标的、规格型号、采购金额、采购数量、技术和服务要求等事项签订政府采购合同。根据项目的特点和需要，采购人如果对签订合同的时间期限、地点有特别要求的，可以在成交通知书中进一步明确，成交供应商应当按照成交通知书的规定和要求，及时与采购人签订合同。</w:t>
      </w:r>
    </w:p>
    <w:p w14:paraId="6D6877D2">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18.2竞争性谈判文件、成交供应商的响应文件及其有关澄清承诺文件等，均为签订政府采购合同的依据和组成部分。</w:t>
      </w:r>
    </w:p>
    <w:p w14:paraId="743A350C">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18.3采购人不得向成交供应商提出超出竞争性谈判文件以外的任何要求作为签订合同的条件，不得与成交供应商订立背离竞争性谈判文件确定的合同文本以及采购标的、规格型号、采购金额、采购数量、技术和服务要求等实质性内容的协议。</w:t>
      </w:r>
    </w:p>
    <w:p w14:paraId="570D258F">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 </w:t>
      </w:r>
    </w:p>
    <w:p w14:paraId="272FBDD0">
      <w:pPr>
        <w:widowControl/>
        <w:spacing w:before="75" w:after="75" w:line="435" w:lineRule="atLeast"/>
        <w:jc w:val="center"/>
        <w:rPr>
          <w:rFonts w:ascii="宋体" w:hAnsi="宋体" w:cs="宋体"/>
          <w:color w:val="auto"/>
          <w:kern w:val="0"/>
          <w:sz w:val="24"/>
        </w:rPr>
      </w:pPr>
      <w:r>
        <w:rPr>
          <w:rFonts w:ascii="宋体" w:hAnsi="宋体" w:cs="宋体"/>
          <w:b/>
          <w:bCs/>
          <w:color w:val="auto"/>
          <w:kern w:val="0"/>
          <w:sz w:val="24"/>
        </w:rPr>
        <w:t>六、询问、质疑与投诉</w:t>
      </w:r>
    </w:p>
    <w:p w14:paraId="45BFAEA3">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w:t>
      </w:r>
    </w:p>
    <w:p w14:paraId="1D7C910C">
      <w:pPr>
        <w:widowControl/>
        <w:spacing w:before="75" w:after="75" w:line="435" w:lineRule="atLeast"/>
        <w:jc w:val="left"/>
        <w:rPr>
          <w:rFonts w:ascii="宋体" w:hAnsi="宋体" w:cs="宋体"/>
          <w:color w:val="auto"/>
          <w:kern w:val="0"/>
          <w:sz w:val="24"/>
        </w:rPr>
      </w:pPr>
      <w:r>
        <w:rPr>
          <w:rFonts w:ascii="宋体" w:hAnsi="宋体" w:cs="宋体"/>
          <w:b/>
          <w:bCs/>
          <w:color w:val="auto"/>
          <w:kern w:val="0"/>
          <w:sz w:val="24"/>
        </w:rPr>
        <w:t>19.询问</w:t>
      </w:r>
    </w:p>
    <w:p w14:paraId="3C9FF67C">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19.1潜在供应商或供应商对本次采购活动的有关事项若有疑问，可向采购人或采购代理机构提出询问，采购人或采购代理机构将按照政府采购法及实施条例的有关规定进行答复。</w:t>
      </w:r>
    </w:p>
    <w:p w14:paraId="10D475F6">
      <w:pPr>
        <w:widowControl/>
        <w:spacing w:before="75" w:after="75" w:line="435" w:lineRule="atLeast"/>
        <w:jc w:val="left"/>
        <w:rPr>
          <w:rFonts w:ascii="宋体" w:hAnsi="宋体" w:cs="宋体"/>
          <w:color w:val="auto"/>
          <w:kern w:val="0"/>
          <w:sz w:val="24"/>
        </w:rPr>
      </w:pPr>
      <w:r>
        <w:rPr>
          <w:rFonts w:ascii="宋体" w:hAnsi="宋体" w:cs="宋体"/>
          <w:b/>
          <w:bCs/>
          <w:color w:val="auto"/>
          <w:kern w:val="0"/>
          <w:sz w:val="24"/>
        </w:rPr>
        <w:t>20.质疑</w:t>
      </w:r>
    </w:p>
    <w:p w14:paraId="54AD82EF">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20.1质疑应在政府采购法及实施条例规定的时效内提出，并符合下列条件：</w:t>
      </w:r>
    </w:p>
    <w:p w14:paraId="44241B6A">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20.1.1对谈判文件提出质疑的，质疑人应为潜在供应商，且两者的身份、名称等均应保持一致。对采购过程、结果提出质疑的，质疑人应为供应商，且两者的身份、名称等均应保持一致。提出质疑的供应商应当是直接参与所质疑项目采购活动的供应商。</w:t>
      </w:r>
    </w:p>
    <w:p w14:paraId="1BBEE5F8">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20.1.2质疑人应提交质疑函原件。</w:t>
      </w:r>
    </w:p>
    <w:p w14:paraId="7AB6C84C">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20.1.3质疑函应包括下列主要内容：</w:t>
      </w:r>
    </w:p>
    <w:p w14:paraId="0C35DDEE">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w:t>
      </w:r>
      <w:r>
        <w:rPr>
          <w:rFonts w:hint="eastAsia" w:ascii="宋体" w:hAnsi="宋体" w:cs="宋体"/>
          <w:color w:val="auto"/>
          <w:kern w:val="0"/>
          <w:sz w:val="24"/>
        </w:rPr>
        <w:t>①</w:t>
      </w:r>
      <w:r>
        <w:rPr>
          <w:rFonts w:ascii="宋体" w:hAnsi="宋体" w:cs="宋体"/>
          <w:color w:val="auto"/>
          <w:kern w:val="0"/>
          <w:sz w:val="24"/>
        </w:rPr>
        <w:t>质疑人的基本信息，至少包括：全称、地址、邮政编码、联系人及联系电话等；适合自然人参加谈判的政府采购项目且质疑人为自然人的，质疑人提供本人的身份证复印件。质疑人为法人或其他组织的，提供统一社会信用代码营业执照或者组织机构登记证件复印件、单位负责人的身份证复印件；质疑人代表为委托代理人的，还应同时提供单位负责人授权书和委托代理人的身份证复印件。</w:t>
      </w:r>
    </w:p>
    <w:p w14:paraId="0E3528EF">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w:t>
      </w:r>
      <w:r>
        <w:rPr>
          <w:rFonts w:hint="eastAsia" w:ascii="宋体" w:hAnsi="宋体" w:cs="宋体"/>
          <w:color w:val="auto"/>
          <w:kern w:val="0"/>
          <w:sz w:val="24"/>
        </w:rPr>
        <w:t>②</w:t>
      </w:r>
      <w:r>
        <w:rPr>
          <w:rFonts w:ascii="宋体" w:hAnsi="宋体" w:cs="宋体"/>
          <w:color w:val="auto"/>
          <w:kern w:val="0"/>
          <w:sz w:val="24"/>
        </w:rPr>
        <w:t>所质疑项目的基本信息，至少包括：项目编号、项目名称等；</w:t>
      </w:r>
    </w:p>
    <w:p w14:paraId="0381E9D9">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w:t>
      </w:r>
      <w:r>
        <w:rPr>
          <w:rFonts w:hint="eastAsia" w:ascii="宋体" w:hAnsi="宋体" w:cs="宋体"/>
          <w:color w:val="auto"/>
          <w:kern w:val="0"/>
          <w:sz w:val="24"/>
        </w:rPr>
        <w:t>③</w:t>
      </w:r>
      <w:r>
        <w:rPr>
          <w:rFonts w:ascii="宋体" w:hAnsi="宋体" w:cs="宋体"/>
          <w:color w:val="auto"/>
          <w:kern w:val="0"/>
          <w:sz w:val="24"/>
        </w:rPr>
        <w:t>所质疑的具体事项（以下简称：“质疑事项”）；</w:t>
      </w:r>
    </w:p>
    <w:p w14:paraId="5D59813F">
      <w:pPr>
        <w:widowControl/>
        <w:spacing w:before="75" w:after="75" w:line="435" w:lineRule="atLeast"/>
        <w:ind w:firstLine="480"/>
        <w:jc w:val="left"/>
        <w:rPr>
          <w:rFonts w:ascii="宋体" w:hAnsi="宋体" w:cs="宋体"/>
          <w:color w:val="auto"/>
          <w:kern w:val="0"/>
          <w:sz w:val="24"/>
        </w:rPr>
      </w:pPr>
      <w:r>
        <w:rPr>
          <w:rFonts w:hint="eastAsia" w:ascii="宋体" w:hAnsi="宋体" w:cs="宋体"/>
          <w:color w:val="auto"/>
          <w:kern w:val="0"/>
          <w:sz w:val="24"/>
        </w:rPr>
        <w:t>④</w:t>
      </w:r>
      <w:r>
        <w:rPr>
          <w:rFonts w:ascii="宋体" w:hAnsi="宋体" w:cs="宋体"/>
          <w:color w:val="auto"/>
          <w:kern w:val="0"/>
          <w:sz w:val="24"/>
        </w:rPr>
        <w:t>质疑人自身权益受到损害的事实依据和证明材料，至少包括：</w:t>
      </w:r>
    </w:p>
    <w:p w14:paraId="2B6FA5A4">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a1所质疑的具体事项事实存在的证明材料；</w:t>
      </w:r>
    </w:p>
    <w:p w14:paraId="71300EC2">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a2所质疑的具体事项事实导致质疑人自身权益受到损害的证明材料，如：采购文件、采购过程或成交结果违法违规，损害自已合法权益等证明材料；</w:t>
      </w:r>
    </w:p>
    <w:p w14:paraId="12FAD276">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备注：若质疑的具体事项按照有关法律、法规和规章规定处于应当保密阶段，则应提供信息或证明材料为合法或公开渠道获得的有效证据（若证据无法有效表明信息或证明材料为合法或公开渠道获得，则前述信息或证明材料视为无效）。</w:t>
      </w:r>
    </w:p>
    <w:p w14:paraId="1FAF5CE3">
      <w:pPr>
        <w:widowControl/>
        <w:spacing w:before="75" w:after="75" w:line="435" w:lineRule="atLeast"/>
        <w:ind w:firstLine="480"/>
        <w:jc w:val="left"/>
        <w:rPr>
          <w:rFonts w:ascii="宋体" w:hAnsi="宋体" w:cs="宋体"/>
          <w:color w:val="auto"/>
          <w:kern w:val="0"/>
          <w:sz w:val="24"/>
        </w:rPr>
      </w:pPr>
      <w:r>
        <w:rPr>
          <w:rFonts w:hint="eastAsia" w:ascii="宋体" w:hAnsi="宋体" w:cs="宋体"/>
          <w:color w:val="auto"/>
          <w:kern w:val="0"/>
          <w:sz w:val="24"/>
        </w:rPr>
        <w:t>⑤</w:t>
      </w:r>
      <w:r>
        <w:rPr>
          <w:rFonts w:ascii="宋体" w:hAnsi="宋体" w:cs="宋体"/>
          <w:color w:val="auto"/>
          <w:kern w:val="0"/>
          <w:sz w:val="24"/>
        </w:rPr>
        <w:t>针对质疑事项提出的明确请求和法律依据，</w:t>
      </w:r>
    </w:p>
    <w:p w14:paraId="5CEC07A3">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前述明确请求指质疑人提出质疑的目的、希望采购人或采购代理机构对其质疑作出的处理结果，如：暂停采购活动、修改谈判文件、停止或纠正违法违规行为、成交结果无效、废标、重新采购等，质疑人提出质疑请求还应当对相应的法律依据进行说明。</w:t>
      </w:r>
    </w:p>
    <w:p w14:paraId="505B9D46">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w:t>
      </w:r>
      <w:r>
        <w:rPr>
          <w:rFonts w:hint="eastAsia" w:ascii="宋体" w:hAnsi="宋体" w:cs="宋体"/>
          <w:color w:val="auto"/>
          <w:kern w:val="0"/>
          <w:sz w:val="24"/>
        </w:rPr>
        <w:t>⑥</w:t>
      </w:r>
      <w:r>
        <w:rPr>
          <w:rFonts w:ascii="宋体" w:hAnsi="宋体" w:cs="宋体"/>
          <w:color w:val="auto"/>
          <w:kern w:val="0"/>
          <w:sz w:val="24"/>
        </w:rPr>
        <w:t>提出质疑的日期以及质疑人代表联系方式，至少包括：姓名、手机、电子信箱、邮寄地址等。</w:t>
      </w:r>
    </w:p>
    <w:p w14:paraId="2F4AC5C2">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20.2对不符合前文第20.1条规定的质疑，采购人或采购代理机构将按照下列规定进行处理：</w:t>
      </w:r>
    </w:p>
    <w:p w14:paraId="6CD93947">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20.2.1超过质疑时效提交的或者质疑人不是直接参与所质疑项目采购活动的供应商，书面告知质疑人其质疑不成立的原因和理由。</w:t>
      </w:r>
    </w:p>
    <w:p w14:paraId="18E81944">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20.2.2质疑函内容不符合规定的，告知质疑人修改、补充后在政府采购法及实施条例规定的时效内重新提交质疑函原件。质疑人拒不修改或补充的，则采购人或采购代理机构应当在质疑答复期内书面告知对方质疑不成立的原因和理由。</w:t>
      </w:r>
    </w:p>
    <w:p w14:paraId="6ADC3597">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20.2.3质疑人修改、补充质疑函超过质疑时效提交的按20.2.1款处理。供应商提交质疑函时，要认真阅读本章第20条关于质疑的相关规定，以免内容或资料不齐，需要修改补充而延误时间。</w:t>
      </w:r>
    </w:p>
    <w:p w14:paraId="75CA5CA1">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20.3对符合前文第20.1条规定的质疑，采购人或采购代理机构将按照政府采购法及实施条例的有关规定进行答复。</w:t>
      </w:r>
    </w:p>
    <w:p w14:paraId="3D5B23CB">
      <w:pPr>
        <w:widowControl/>
        <w:spacing w:before="75" w:after="75" w:line="435" w:lineRule="atLeast"/>
        <w:jc w:val="left"/>
        <w:rPr>
          <w:rFonts w:ascii="宋体" w:hAnsi="宋体" w:cs="宋体"/>
          <w:color w:val="auto"/>
          <w:kern w:val="0"/>
          <w:sz w:val="24"/>
        </w:rPr>
      </w:pPr>
      <w:r>
        <w:rPr>
          <w:rFonts w:ascii="宋体" w:hAnsi="宋体" w:cs="宋体"/>
          <w:b/>
          <w:bCs/>
          <w:color w:val="auto"/>
          <w:kern w:val="0"/>
          <w:sz w:val="24"/>
        </w:rPr>
        <w:t>21.投诉</w:t>
      </w:r>
    </w:p>
    <w:p w14:paraId="021AAA76">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21.1若对质疑答复不满意或质疑答复未在答复期限内作出，质疑人可在答复期限届满之日起15个工作日内向谈判文件中载明的监督管理部门投诉。</w:t>
      </w:r>
    </w:p>
    <w:p w14:paraId="03DC663E">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21.1投诉应有明确的请求和必要的证明材料，投诉的事项不得超出已质疑事项的范围。</w:t>
      </w:r>
    </w:p>
    <w:p w14:paraId="1158D5A2">
      <w:pPr>
        <w:widowControl/>
        <w:spacing w:before="75" w:after="75" w:line="435" w:lineRule="atLeast"/>
        <w:jc w:val="left"/>
        <w:rPr>
          <w:rFonts w:ascii="宋体" w:hAnsi="宋体" w:cs="宋体"/>
          <w:color w:val="auto"/>
          <w:kern w:val="0"/>
          <w:sz w:val="24"/>
        </w:rPr>
      </w:pPr>
    </w:p>
    <w:p w14:paraId="33B2D092">
      <w:pPr>
        <w:widowControl/>
        <w:spacing w:before="75" w:after="75" w:line="435" w:lineRule="atLeast"/>
        <w:jc w:val="center"/>
        <w:rPr>
          <w:rFonts w:ascii="宋体" w:hAnsi="宋体" w:cs="宋体"/>
          <w:color w:val="auto"/>
          <w:kern w:val="0"/>
          <w:sz w:val="24"/>
        </w:rPr>
      </w:pPr>
      <w:r>
        <w:rPr>
          <w:rFonts w:ascii="宋体" w:hAnsi="宋体" w:cs="宋体"/>
          <w:b/>
          <w:bCs/>
          <w:color w:val="auto"/>
          <w:kern w:val="0"/>
          <w:sz w:val="24"/>
        </w:rPr>
        <w:t>七、有关信息公告和监督部门</w:t>
      </w:r>
    </w:p>
    <w:p w14:paraId="6DDCC1D1">
      <w:pPr>
        <w:widowControl/>
        <w:spacing w:before="75" w:after="75" w:line="435" w:lineRule="atLeast"/>
        <w:jc w:val="center"/>
        <w:rPr>
          <w:rFonts w:ascii="宋体" w:hAnsi="宋体" w:cs="宋体"/>
          <w:color w:val="auto"/>
          <w:kern w:val="0"/>
          <w:sz w:val="24"/>
        </w:rPr>
      </w:pPr>
      <w:r>
        <w:rPr>
          <w:rFonts w:ascii="宋体" w:hAnsi="宋体" w:cs="宋体"/>
          <w:b/>
          <w:bCs/>
          <w:color w:val="auto"/>
          <w:kern w:val="0"/>
          <w:sz w:val="24"/>
        </w:rPr>
        <w:t> </w:t>
      </w:r>
    </w:p>
    <w:p w14:paraId="0E834CC9">
      <w:pPr>
        <w:widowControl/>
        <w:spacing w:before="75" w:after="75" w:line="435" w:lineRule="atLeast"/>
        <w:jc w:val="left"/>
        <w:rPr>
          <w:rFonts w:ascii="宋体" w:hAnsi="宋体" w:cs="宋体"/>
          <w:color w:val="auto"/>
          <w:kern w:val="0"/>
          <w:sz w:val="24"/>
        </w:rPr>
      </w:pPr>
      <w:r>
        <w:rPr>
          <w:rFonts w:ascii="宋体" w:hAnsi="宋体" w:cs="宋体"/>
          <w:b/>
          <w:bCs/>
          <w:color w:val="auto"/>
          <w:kern w:val="0"/>
          <w:sz w:val="24"/>
        </w:rPr>
        <w:t>22.采购信息公告媒体</w:t>
      </w:r>
    </w:p>
    <w:p w14:paraId="070F0878">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22.1本项目的有关信息，包括但不限于采购公告、更正公告（若有）、谈判文件、谈判文件的澄清或修改（若有）、成交公告、终止公告（若有）、废标公告（若有）等都将在谈判文件载明的指定媒体发布。潜在供应商或供应商务必随时关注，以免遗漏。</w:t>
      </w:r>
    </w:p>
    <w:p w14:paraId="335E70BE">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22.2信息公告指定媒体：详见竞争性谈判须知前附表第8项。</w:t>
      </w:r>
    </w:p>
    <w:p w14:paraId="0301267A">
      <w:pPr>
        <w:widowControl/>
        <w:spacing w:before="75" w:after="75" w:line="435" w:lineRule="atLeast"/>
        <w:jc w:val="left"/>
        <w:rPr>
          <w:rFonts w:ascii="宋体" w:hAnsi="宋体" w:cs="宋体"/>
          <w:color w:val="auto"/>
          <w:kern w:val="0"/>
          <w:sz w:val="24"/>
        </w:rPr>
      </w:pPr>
      <w:r>
        <w:rPr>
          <w:rFonts w:ascii="宋体" w:hAnsi="宋体" w:cs="宋体"/>
          <w:b/>
          <w:bCs/>
          <w:color w:val="auto"/>
          <w:kern w:val="0"/>
          <w:sz w:val="24"/>
        </w:rPr>
        <w:t>23.监督管理部门</w:t>
      </w:r>
    </w:p>
    <w:p w14:paraId="417FF0C9">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23.1谈判采购活动的监督管理部门详见竞争性谈判须知前附表第9项。</w:t>
      </w:r>
      <w:r>
        <w:rPr>
          <w:rFonts w:ascii="宋体" w:hAnsi="宋体" w:cs="宋体"/>
          <w:b/>
          <w:bCs/>
          <w:color w:val="auto"/>
          <w:kern w:val="0"/>
          <w:sz w:val="24"/>
        </w:rPr>
        <w:t> </w:t>
      </w:r>
    </w:p>
    <w:p w14:paraId="40BE9912">
      <w:pPr>
        <w:widowControl/>
        <w:spacing w:before="75" w:after="75" w:line="435" w:lineRule="atLeast"/>
        <w:jc w:val="center"/>
        <w:rPr>
          <w:rFonts w:ascii="宋体" w:hAnsi="宋体" w:cs="宋体"/>
          <w:color w:val="auto"/>
          <w:kern w:val="0"/>
          <w:sz w:val="24"/>
        </w:rPr>
      </w:pPr>
      <w:r>
        <w:rPr>
          <w:rFonts w:ascii="宋体" w:hAnsi="宋体" w:cs="宋体"/>
          <w:b/>
          <w:bCs/>
          <w:color w:val="auto"/>
          <w:kern w:val="0"/>
          <w:sz w:val="24"/>
        </w:rPr>
        <w:t>八、根据采购项目特点或政策需要补充的其他内容</w:t>
      </w:r>
    </w:p>
    <w:p w14:paraId="2E831A30">
      <w:pPr>
        <w:widowControl/>
        <w:spacing w:before="75" w:after="75" w:line="435" w:lineRule="atLeast"/>
        <w:jc w:val="left"/>
        <w:rPr>
          <w:rFonts w:ascii="宋体" w:hAnsi="宋体" w:cs="宋体"/>
          <w:color w:val="auto"/>
          <w:kern w:val="0"/>
          <w:sz w:val="24"/>
        </w:rPr>
      </w:pPr>
      <w:r>
        <w:rPr>
          <w:rFonts w:ascii="宋体" w:hAnsi="宋体" w:cs="宋体"/>
          <w:b/>
          <w:bCs/>
          <w:color w:val="auto"/>
          <w:kern w:val="0"/>
          <w:sz w:val="24"/>
        </w:rPr>
        <w:t>24.履约保证金</w:t>
      </w:r>
    </w:p>
    <w:p w14:paraId="4458A88A">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24.1采购人可以根据项目特点和需要，确定是否要求成交供应商在合同签订前，按照谈判文件规定的时间、形式、金额提交履约保证金，履约保证金的数额不超过中标合同金额的10%，具体详见竞争性谈判须知前附表第10项规定。</w:t>
      </w:r>
    </w:p>
    <w:p w14:paraId="147D61FF">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24.2谈判文件要求在合同签订前提交履约保证金，如果成交供应商无故拖延或者拒不提交履约保证金的，则视为成交供应商拒绝与采购人签订合同，该成交供应商将承担违法行为的法律责任。</w:t>
      </w:r>
    </w:p>
    <w:p w14:paraId="1B3F0EB0">
      <w:pPr>
        <w:widowControl/>
        <w:spacing w:before="75" w:after="75" w:line="435" w:lineRule="atLeast"/>
        <w:jc w:val="left"/>
        <w:rPr>
          <w:rFonts w:ascii="宋体" w:hAnsi="宋体" w:cs="宋体"/>
          <w:color w:val="auto"/>
          <w:kern w:val="0"/>
          <w:sz w:val="24"/>
        </w:rPr>
      </w:pPr>
      <w:r>
        <w:rPr>
          <w:rFonts w:ascii="宋体" w:hAnsi="宋体" w:cs="宋体"/>
          <w:b/>
          <w:bCs/>
          <w:color w:val="auto"/>
          <w:kern w:val="0"/>
          <w:sz w:val="24"/>
        </w:rPr>
        <w:t>25.其他新增内容：</w:t>
      </w:r>
    </w:p>
    <w:p w14:paraId="0A66DF9B">
      <w:pPr>
        <w:widowControl/>
        <w:spacing w:before="75" w:after="75" w:line="435" w:lineRule="atLeast"/>
        <w:jc w:val="left"/>
        <w:rPr>
          <w:rFonts w:hint="eastAsia"/>
          <w:b/>
          <w:color w:val="auto"/>
          <w:sz w:val="32"/>
          <w:szCs w:val="32"/>
        </w:rPr>
      </w:pPr>
      <w:r>
        <w:rPr>
          <w:rFonts w:ascii="宋体" w:hAnsi="宋体" w:cs="宋体"/>
          <w:color w:val="auto"/>
          <w:kern w:val="0"/>
          <w:sz w:val="24"/>
        </w:rPr>
        <w:t>  根据采购项目特点或政策需要补充的其他新增内容详见竞争性谈判须知前附表第11项。</w:t>
      </w:r>
    </w:p>
    <w:p w14:paraId="633EE10C">
      <w:pPr>
        <w:pStyle w:val="12"/>
        <w:spacing w:before="55" w:beforeAutospacing="0" w:after="55" w:afterAutospacing="0"/>
        <w:jc w:val="center"/>
        <w:rPr>
          <w:rFonts w:hint="eastAsia"/>
          <w:b/>
          <w:bCs w:val="0"/>
          <w:color w:val="auto"/>
          <w:sz w:val="32"/>
          <w:szCs w:val="32"/>
        </w:rPr>
      </w:pPr>
    </w:p>
    <w:p w14:paraId="016DD1EE">
      <w:pPr>
        <w:pStyle w:val="12"/>
        <w:spacing w:before="55" w:beforeAutospacing="0" w:after="55" w:afterAutospacing="0"/>
        <w:jc w:val="center"/>
        <w:rPr>
          <w:rFonts w:hint="eastAsia"/>
          <w:b/>
          <w:bCs w:val="0"/>
          <w:color w:val="auto"/>
          <w:sz w:val="32"/>
          <w:szCs w:val="32"/>
        </w:rPr>
      </w:pPr>
    </w:p>
    <w:p w14:paraId="068F85FA">
      <w:pPr>
        <w:pStyle w:val="12"/>
        <w:spacing w:before="55" w:beforeAutospacing="0" w:after="55" w:afterAutospacing="0"/>
        <w:jc w:val="center"/>
        <w:rPr>
          <w:rFonts w:hint="eastAsia"/>
          <w:b/>
          <w:bCs w:val="0"/>
          <w:color w:val="auto"/>
          <w:sz w:val="32"/>
          <w:szCs w:val="32"/>
        </w:rPr>
      </w:pPr>
    </w:p>
    <w:p w14:paraId="5AEDA0AC">
      <w:pPr>
        <w:pStyle w:val="12"/>
        <w:spacing w:before="55" w:beforeAutospacing="0" w:after="55" w:afterAutospacing="0"/>
        <w:jc w:val="center"/>
        <w:rPr>
          <w:rFonts w:hint="eastAsia"/>
          <w:b/>
          <w:bCs w:val="0"/>
          <w:color w:val="auto"/>
          <w:sz w:val="32"/>
          <w:szCs w:val="32"/>
        </w:rPr>
      </w:pPr>
    </w:p>
    <w:p w14:paraId="1B604FA2">
      <w:pPr>
        <w:pStyle w:val="12"/>
        <w:spacing w:before="55" w:beforeAutospacing="0" w:after="55" w:afterAutospacing="0"/>
        <w:jc w:val="center"/>
        <w:rPr>
          <w:rFonts w:hint="eastAsia"/>
          <w:b/>
          <w:bCs w:val="0"/>
          <w:color w:val="auto"/>
          <w:sz w:val="32"/>
          <w:szCs w:val="32"/>
        </w:rPr>
      </w:pPr>
    </w:p>
    <w:p w14:paraId="7F39A395">
      <w:pPr>
        <w:pStyle w:val="12"/>
        <w:spacing w:before="55" w:beforeAutospacing="0" w:after="55" w:afterAutospacing="0"/>
        <w:jc w:val="center"/>
        <w:rPr>
          <w:rFonts w:hint="eastAsia"/>
          <w:b/>
          <w:bCs w:val="0"/>
          <w:color w:val="auto"/>
          <w:sz w:val="32"/>
          <w:szCs w:val="32"/>
        </w:rPr>
      </w:pPr>
    </w:p>
    <w:p w14:paraId="0851599A">
      <w:pPr>
        <w:pStyle w:val="12"/>
        <w:spacing w:before="55" w:beforeAutospacing="0" w:after="55" w:afterAutospacing="0"/>
        <w:jc w:val="center"/>
        <w:rPr>
          <w:rFonts w:hint="eastAsia"/>
          <w:b/>
          <w:bCs w:val="0"/>
          <w:color w:val="auto"/>
          <w:sz w:val="32"/>
          <w:szCs w:val="32"/>
        </w:rPr>
      </w:pPr>
    </w:p>
    <w:p w14:paraId="19920653">
      <w:pPr>
        <w:pStyle w:val="12"/>
        <w:spacing w:before="55" w:beforeAutospacing="0" w:after="55" w:afterAutospacing="0"/>
        <w:jc w:val="center"/>
        <w:rPr>
          <w:rFonts w:hint="eastAsia"/>
          <w:b/>
          <w:bCs w:val="0"/>
          <w:color w:val="auto"/>
          <w:sz w:val="32"/>
          <w:szCs w:val="32"/>
        </w:rPr>
      </w:pPr>
    </w:p>
    <w:p w14:paraId="0779DBF3">
      <w:pPr>
        <w:pStyle w:val="12"/>
        <w:spacing w:before="55" w:beforeAutospacing="0" w:after="55" w:afterAutospacing="0"/>
        <w:jc w:val="center"/>
        <w:rPr>
          <w:rFonts w:hint="eastAsia"/>
          <w:b/>
          <w:bCs w:val="0"/>
          <w:color w:val="auto"/>
          <w:sz w:val="32"/>
          <w:szCs w:val="32"/>
        </w:rPr>
      </w:pPr>
    </w:p>
    <w:p w14:paraId="238106BA">
      <w:pPr>
        <w:pStyle w:val="12"/>
        <w:spacing w:before="55" w:beforeAutospacing="0" w:after="55" w:afterAutospacing="0"/>
        <w:jc w:val="center"/>
        <w:rPr>
          <w:rFonts w:hint="eastAsia"/>
          <w:b/>
          <w:bCs w:val="0"/>
          <w:color w:val="auto"/>
          <w:sz w:val="32"/>
          <w:szCs w:val="32"/>
        </w:rPr>
      </w:pPr>
    </w:p>
    <w:p w14:paraId="589464E6">
      <w:pPr>
        <w:pStyle w:val="12"/>
        <w:spacing w:before="55" w:beforeAutospacing="0" w:after="55" w:afterAutospacing="0"/>
        <w:jc w:val="center"/>
        <w:rPr>
          <w:rFonts w:hint="eastAsia"/>
          <w:b/>
          <w:bCs w:val="0"/>
          <w:color w:val="auto"/>
          <w:sz w:val="32"/>
          <w:szCs w:val="32"/>
        </w:rPr>
      </w:pPr>
    </w:p>
    <w:p w14:paraId="74870AA1">
      <w:pPr>
        <w:pStyle w:val="12"/>
        <w:spacing w:before="55" w:beforeAutospacing="0" w:after="55" w:afterAutospacing="0"/>
        <w:jc w:val="center"/>
        <w:rPr>
          <w:rFonts w:hint="eastAsia"/>
          <w:b/>
          <w:bCs w:val="0"/>
          <w:color w:val="auto"/>
          <w:sz w:val="32"/>
          <w:szCs w:val="32"/>
        </w:rPr>
      </w:pPr>
    </w:p>
    <w:p w14:paraId="6DBF835A">
      <w:pPr>
        <w:pStyle w:val="12"/>
        <w:spacing w:before="55" w:beforeAutospacing="0" w:after="55" w:afterAutospacing="0"/>
        <w:jc w:val="center"/>
        <w:rPr>
          <w:rFonts w:hint="eastAsia"/>
          <w:b/>
          <w:bCs w:val="0"/>
          <w:color w:val="auto"/>
          <w:sz w:val="32"/>
          <w:szCs w:val="32"/>
        </w:rPr>
      </w:pPr>
    </w:p>
    <w:p w14:paraId="09D95D31">
      <w:pPr>
        <w:pStyle w:val="12"/>
        <w:spacing w:before="55" w:beforeAutospacing="0" w:after="55" w:afterAutospacing="0"/>
        <w:jc w:val="center"/>
        <w:rPr>
          <w:rFonts w:hint="eastAsia"/>
          <w:b/>
          <w:bCs w:val="0"/>
          <w:color w:val="auto"/>
          <w:sz w:val="32"/>
          <w:szCs w:val="32"/>
        </w:rPr>
      </w:pPr>
    </w:p>
    <w:p w14:paraId="2A6EF59A">
      <w:pPr>
        <w:pStyle w:val="12"/>
        <w:spacing w:before="55" w:beforeAutospacing="0" w:after="55" w:afterAutospacing="0"/>
        <w:jc w:val="center"/>
        <w:rPr>
          <w:rFonts w:hint="eastAsia"/>
          <w:b/>
          <w:bCs w:val="0"/>
          <w:color w:val="auto"/>
          <w:sz w:val="32"/>
          <w:szCs w:val="32"/>
        </w:rPr>
      </w:pPr>
    </w:p>
    <w:p w14:paraId="0A1745AF">
      <w:pPr>
        <w:pStyle w:val="12"/>
        <w:spacing w:before="55" w:beforeAutospacing="0" w:after="55" w:afterAutospacing="0"/>
        <w:jc w:val="center"/>
        <w:rPr>
          <w:rFonts w:hint="eastAsia"/>
          <w:b/>
          <w:bCs w:val="0"/>
          <w:color w:val="auto"/>
          <w:sz w:val="32"/>
          <w:szCs w:val="32"/>
        </w:rPr>
      </w:pPr>
    </w:p>
    <w:p w14:paraId="45285A44">
      <w:pPr>
        <w:pStyle w:val="12"/>
        <w:spacing w:before="55" w:beforeAutospacing="0" w:after="55" w:afterAutospacing="0"/>
        <w:jc w:val="center"/>
        <w:rPr>
          <w:rFonts w:hint="eastAsia"/>
          <w:b/>
          <w:bCs w:val="0"/>
          <w:color w:val="auto"/>
          <w:sz w:val="32"/>
          <w:szCs w:val="32"/>
        </w:rPr>
      </w:pPr>
    </w:p>
    <w:p w14:paraId="6B569A04">
      <w:pPr>
        <w:pStyle w:val="12"/>
        <w:spacing w:before="55" w:beforeAutospacing="0" w:after="55" w:afterAutospacing="0"/>
        <w:jc w:val="center"/>
        <w:rPr>
          <w:rFonts w:hint="eastAsia"/>
          <w:b/>
          <w:bCs w:val="0"/>
          <w:color w:val="auto"/>
          <w:sz w:val="32"/>
          <w:szCs w:val="32"/>
        </w:rPr>
      </w:pPr>
    </w:p>
    <w:p w14:paraId="188309FC">
      <w:pPr>
        <w:pStyle w:val="12"/>
        <w:spacing w:before="55" w:beforeAutospacing="0" w:after="55" w:afterAutospacing="0"/>
        <w:jc w:val="center"/>
        <w:rPr>
          <w:b/>
          <w:bCs w:val="0"/>
          <w:color w:val="auto"/>
          <w:sz w:val="32"/>
          <w:szCs w:val="32"/>
        </w:rPr>
      </w:pPr>
      <w:r>
        <w:rPr>
          <w:rFonts w:hint="eastAsia"/>
          <w:b/>
          <w:bCs w:val="0"/>
          <w:color w:val="auto"/>
          <w:sz w:val="32"/>
          <w:szCs w:val="32"/>
        </w:rPr>
        <w:t>第三章  采购内容及要求</w:t>
      </w:r>
    </w:p>
    <w:p w14:paraId="1FAEBF0B">
      <w:pPr>
        <w:pStyle w:val="12"/>
        <w:spacing w:before="55" w:beforeAutospacing="0" w:after="55" w:afterAutospacing="0"/>
        <w:rPr>
          <w:b/>
          <w:color w:val="auto"/>
        </w:rPr>
      </w:pPr>
      <w:r>
        <w:rPr>
          <w:rFonts w:hint="eastAsia"/>
          <w:b/>
          <w:color w:val="auto"/>
        </w:rPr>
        <w:t>一、项目概况（采购标的）</w:t>
      </w:r>
    </w:p>
    <w:p w14:paraId="44B32EEC">
      <w:pPr>
        <w:pStyle w:val="12"/>
        <w:spacing w:before="55" w:beforeAutospacing="0" w:after="55" w:afterAutospacing="0"/>
        <w:rPr>
          <w:rFonts w:hint="eastAsia"/>
          <w:bCs/>
          <w:color w:val="auto"/>
        </w:rPr>
      </w:pPr>
      <w:r>
        <w:rPr>
          <w:rFonts w:hint="eastAsia"/>
          <w:bCs/>
          <w:color w:val="auto"/>
        </w:rPr>
        <w:t>本项目为</w:t>
      </w:r>
      <w:r>
        <w:rPr>
          <w:rFonts w:hint="eastAsia"/>
          <w:bCs/>
          <w:color w:val="auto"/>
          <w:lang w:eastAsia="zh-CN"/>
        </w:rPr>
        <w:t>：南安市疾病预防控制中心生物显微镜和超纯水机等设备采购</w:t>
      </w:r>
      <w:r>
        <w:rPr>
          <w:rFonts w:hint="eastAsia"/>
          <w:bCs/>
          <w:color w:val="auto"/>
        </w:rPr>
        <w:t>。</w:t>
      </w:r>
    </w:p>
    <w:p w14:paraId="4BDEF9C8">
      <w:pPr>
        <w:pStyle w:val="12"/>
        <w:spacing w:before="55" w:beforeAutospacing="0" w:after="55" w:afterAutospacing="0"/>
        <w:rPr>
          <w:rFonts w:hint="default" w:eastAsia="宋体"/>
          <w:bCs/>
          <w:color w:val="auto"/>
          <w:lang w:val="en-US" w:eastAsia="zh-CN"/>
        </w:rPr>
      </w:pPr>
      <w:r>
        <w:rPr>
          <w:rFonts w:hint="eastAsia"/>
          <w:bCs/>
          <w:color w:val="auto"/>
          <w:lang w:val="en-US" w:eastAsia="zh-CN"/>
        </w:rPr>
        <w:t xml:space="preserve">                                                     </w:t>
      </w:r>
    </w:p>
    <w:tbl>
      <w:tblPr>
        <w:tblStyle w:val="14"/>
        <w:tblW w:w="5251" w:type="pct"/>
        <w:tblInd w:w="0" w:type="dxa"/>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autofit"/>
        <w:tblCellMar>
          <w:top w:w="0" w:type="dxa"/>
          <w:left w:w="0" w:type="dxa"/>
          <w:bottom w:w="0" w:type="dxa"/>
          <w:right w:w="0" w:type="dxa"/>
        </w:tblCellMar>
      </w:tblPr>
      <w:tblGrid>
        <w:gridCol w:w="943"/>
        <w:gridCol w:w="935"/>
        <w:gridCol w:w="2160"/>
        <w:gridCol w:w="835"/>
        <w:gridCol w:w="1556"/>
        <w:gridCol w:w="1218"/>
        <w:gridCol w:w="1302"/>
      </w:tblGrid>
      <w:tr w14:paraId="64835553">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trHeight w:val="731" w:hRule="atLeast"/>
          <w:tblHeader/>
        </w:trPr>
        <w:tc>
          <w:tcPr>
            <w:tcW w:w="527" w:type="pct"/>
            <w:tcBorders>
              <w:top w:val="single" w:color="666666" w:sz="6" w:space="0"/>
              <w:left w:val="single" w:color="666666" w:sz="6" w:space="0"/>
              <w:bottom w:val="single" w:color="666666" w:sz="6" w:space="0"/>
              <w:right w:val="single" w:color="666666" w:sz="6" w:space="0"/>
            </w:tcBorders>
            <w:shd w:val="clear" w:color="auto" w:fill="FFFFFF"/>
            <w:vAlign w:val="center"/>
          </w:tcPr>
          <w:p w14:paraId="094E98B8">
            <w:pPr>
              <w:widowControl/>
              <w:spacing w:before="75" w:after="75" w:line="435" w:lineRule="atLeast"/>
              <w:jc w:val="center"/>
              <w:rPr>
                <w:rFonts w:ascii="宋体" w:hAnsi="宋体" w:cs="宋体"/>
                <w:b w:val="0"/>
                <w:bCs w:val="0"/>
                <w:color w:val="auto"/>
                <w:kern w:val="0"/>
                <w:sz w:val="24"/>
                <w:highlight w:val="none"/>
                <w:shd w:val="clear" w:color="auto" w:fill="FFFFFF"/>
              </w:rPr>
            </w:pPr>
            <w:r>
              <w:rPr>
                <w:rFonts w:ascii="宋体" w:hAnsi="宋体" w:cs="宋体"/>
                <w:b w:val="0"/>
                <w:bCs w:val="0"/>
                <w:color w:val="auto"/>
                <w:kern w:val="0"/>
                <w:sz w:val="24"/>
                <w:highlight w:val="none"/>
                <w:shd w:val="clear" w:color="auto" w:fill="FFFFFF"/>
              </w:rPr>
              <w:t>合同包</w:t>
            </w:r>
          </w:p>
        </w:tc>
        <w:tc>
          <w:tcPr>
            <w:tcW w:w="522" w:type="pct"/>
            <w:tcBorders>
              <w:top w:val="single" w:color="666666" w:sz="6" w:space="0"/>
              <w:left w:val="single" w:color="666666" w:sz="6" w:space="0"/>
              <w:bottom w:val="single" w:color="666666" w:sz="6" w:space="0"/>
              <w:right w:val="single" w:color="666666" w:sz="6" w:space="0"/>
            </w:tcBorders>
            <w:shd w:val="clear" w:color="auto" w:fill="FFFFFF"/>
            <w:vAlign w:val="center"/>
          </w:tcPr>
          <w:p w14:paraId="0B65CC4B">
            <w:pPr>
              <w:widowControl/>
              <w:spacing w:before="75" w:after="75" w:line="435" w:lineRule="atLeast"/>
              <w:jc w:val="center"/>
              <w:rPr>
                <w:rFonts w:ascii="宋体" w:hAnsi="宋体" w:cs="宋体"/>
                <w:b w:val="0"/>
                <w:bCs w:val="0"/>
                <w:color w:val="auto"/>
                <w:kern w:val="0"/>
                <w:sz w:val="24"/>
                <w:highlight w:val="none"/>
                <w:shd w:val="clear" w:color="auto" w:fill="FFFFFF"/>
              </w:rPr>
            </w:pPr>
            <w:r>
              <w:rPr>
                <w:rFonts w:ascii="宋体" w:hAnsi="宋体" w:cs="宋体"/>
                <w:b w:val="0"/>
                <w:bCs w:val="0"/>
                <w:color w:val="auto"/>
                <w:kern w:val="0"/>
                <w:sz w:val="24"/>
                <w:highlight w:val="none"/>
                <w:shd w:val="clear" w:color="auto" w:fill="FFFFFF"/>
              </w:rPr>
              <w:t>品目号</w:t>
            </w:r>
          </w:p>
        </w:tc>
        <w:tc>
          <w:tcPr>
            <w:tcW w:w="1206" w:type="pct"/>
            <w:tcBorders>
              <w:top w:val="single" w:color="666666" w:sz="6" w:space="0"/>
              <w:left w:val="single" w:color="666666" w:sz="6" w:space="0"/>
              <w:bottom w:val="single" w:color="666666" w:sz="6" w:space="0"/>
              <w:right w:val="single" w:color="666666" w:sz="6" w:space="0"/>
            </w:tcBorders>
            <w:shd w:val="clear" w:color="auto" w:fill="FFFFFF"/>
            <w:vAlign w:val="center"/>
          </w:tcPr>
          <w:p w14:paraId="3FE20647">
            <w:pPr>
              <w:widowControl/>
              <w:spacing w:before="75" w:after="75" w:line="435" w:lineRule="atLeast"/>
              <w:jc w:val="center"/>
              <w:rPr>
                <w:rFonts w:ascii="宋体" w:hAnsi="宋体" w:cs="宋体"/>
                <w:b w:val="0"/>
                <w:bCs w:val="0"/>
                <w:color w:val="auto"/>
                <w:kern w:val="0"/>
                <w:sz w:val="24"/>
                <w:highlight w:val="none"/>
                <w:shd w:val="clear" w:color="auto" w:fill="FFFFFF"/>
              </w:rPr>
            </w:pPr>
            <w:r>
              <w:rPr>
                <w:rFonts w:ascii="宋体" w:hAnsi="宋体" w:cs="宋体"/>
                <w:b w:val="0"/>
                <w:bCs w:val="0"/>
                <w:color w:val="auto"/>
                <w:kern w:val="0"/>
                <w:sz w:val="24"/>
                <w:highlight w:val="none"/>
                <w:shd w:val="clear" w:color="auto" w:fill="FFFFFF"/>
              </w:rPr>
              <w:t>采购标的</w:t>
            </w:r>
          </w:p>
        </w:tc>
        <w:tc>
          <w:tcPr>
            <w:tcW w:w="466" w:type="pct"/>
            <w:tcBorders>
              <w:top w:val="single" w:color="666666" w:sz="6" w:space="0"/>
              <w:left w:val="single" w:color="666666" w:sz="6" w:space="0"/>
              <w:bottom w:val="single" w:color="666666" w:sz="6" w:space="0"/>
              <w:right w:val="single" w:color="666666" w:sz="6" w:space="0"/>
            </w:tcBorders>
            <w:shd w:val="clear" w:color="auto" w:fill="FFFFFF"/>
            <w:vAlign w:val="center"/>
          </w:tcPr>
          <w:p w14:paraId="00E5F339">
            <w:pPr>
              <w:widowControl/>
              <w:spacing w:before="75" w:after="75" w:line="435" w:lineRule="atLeast"/>
              <w:jc w:val="center"/>
              <w:rPr>
                <w:rFonts w:ascii="宋体" w:hAnsi="宋体" w:cs="宋体"/>
                <w:b w:val="0"/>
                <w:bCs w:val="0"/>
                <w:color w:val="auto"/>
                <w:kern w:val="0"/>
                <w:sz w:val="24"/>
                <w:highlight w:val="none"/>
                <w:shd w:val="clear" w:color="auto" w:fill="FFFFFF"/>
              </w:rPr>
            </w:pPr>
            <w:r>
              <w:rPr>
                <w:rFonts w:ascii="宋体" w:hAnsi="宋体" w:cs="宋体"/>
                <w:b w:val="0"/>
                <w:bCs w:val="0"/>
                <w:color w:val="auto"/>
                <w:kern w:val="0"/>
                <w:sz w:val="24"/>
                <w:highlight w:val="none"/>
                <w:shd w:val="clear" w:color="auto" w:fill="FFFFFF"/>
              </w:rPr>
              <w:t>数量</w:t>
            </w:r>
          </w:p>
        </w:tc>
        <w:tc>
          <w:tcPr>
            <w:tcW w:w="869" w:type="pct"/>
            <w:tcBorders>
              <w:top w:val="single" w:color="666666" w:sz="6" w:space="0"/>
              <w:left w:val="single" w:color="666666" w:sz="6" w:space="0"/>
              <w:bottom w:val="single" w:color="666666" w:sz="6" w:space="0"/>
              <w:right w:val="single" w:color="666666" w:sz="6" w:space="0"/>
            </w:tcBorders>
            <w:shd w:val="clear" w:color="auto" w:fill="FFFFFF"/>
            <w:vAlign w:val="center"/>
          </w:tcPr>
          <w:p w14:paraId="45BF9349">
            <w:pPr>
              <w:widowControl/>
              <w:spacing w:before="75" w:after="75" w:line="435" w:lineRule="atLeast"/>
              <w:jc w:val="center"/>
              <w:rPr>
                <w:rFonts w:hint="default" w:ascii="宋体" w:hAnsi="宋体" w:eastAsia="宋体" w:cs="宋体"/>
                <w:b w:val="0"/>
                <w:bCs w:val="0"/>
                <w:color w:val="auto"/>
                <w:kern w:val="0"/>
                <w:sz w:val="24"/>
                <w:highlight w:val="none"/>
                <w:shd w:val="clear" w:color="auto" w:fill="FFFFFF"/>
                <w:lang w:val="en-US" w:eastAsia="zh-CN"/>
              </w:rPr>
            </w:pPr>
            <w:r>
              <w:rPr>
                <w:rFonts w:hint="eastAsia" w:ascii="宋体" w:hAnsi="宋体" w:cs="宋体"/>
                <w:b w:val="0"/>
                <w:bCs w:val="0"/>
                <w:color w:val="auto"/>
                <w:kern w:val="0"/>
                <w:sz w:val="24"/>
                <w:highlight w:val="none"/>
                <w:shd w:val="clear" w:color="auto" w:fill="FFFFFF"/>
                <w:lang w:val="en-US" w:eastAsia="zh-CN"/>
              </w:rPr>
              <w:t>最高控制单价（元）</w:t>
            </w:r>
          </w:p>
        </w:tc>
        <w:tc>
          <w:tcPr>
            <w:tcW w:w="680" w:type="pct"/>
            <w:tcBorders>
              <w:top w:val="single" w:color="666666" w:sz="6" w:space="0"/>
              <w:left w:val="single" w:color="666666" w:sz="6" w:space="0"/>
              <w:bottom w:val="single" w:color="666666" w:sz="6" w:space="0"/>
              <w:right w:val="single" w:color="666666" w:sz="6" w:space="0"/>
            </w:tcBorders>
            <w:shd w:val="clear" w:color="auto" w:fill="FFFFFF"/>
            <w:vAlign w:val="center"/>
          </w:tcPr>
          <w:p w14:paraId="11F4C587">
            <w:pPr>
              <w:widowControl/>
              <w:spacing w:before="75" w:after="75" w:line="435" w:lineRule="atLeast"/>
              <w:jc w:val="center"/>
              <w:rPr>
                <w:rFonts w:hint="eastAsia" w:ascii="宋体" w:hAnsi="宋体" w:eastAsia="宋体" w:cs="宋体"/>
                <w:b w:val="0"/>
                <w:bCs w:val="0"/>
                <w:color w:val="auto"/>
                <w:kern w:val="0"/>
                <w:sz w:val="24"/>
                <w:highlight w:val="none"/>
                <w:shd w:val="clear" w:color="auto" w:fill="FFFFFF"/>
                <w:lang w:eastAsia="zh-CN"/>
              </w:rPr>
            </w:pPr>
            <w:r>
              <w:rPr>
                <w:rFonts w:hint="eastAsia" w:ascii="宋体" w:hAnsi="宋体" w:cs="宋体"/>
                <w:b w:val="0"/>
                <w:bCs w:val="0"/>
                <w:color w:val="auto"/>
                <w:kern w:val="0"/>
                <w:sz w:val="24"/>
                <w:highlight w:val="none"/>
                <w:shd w:val="clear" w:color="auto" w:fill="FFFFFF"/>
                <w:lang w:val="en-US" w:eastAsia="zh-CN"/>
              </w:rPr>
              <w:t>最高控制价</w:t>
            </w:r>
            <w:r>
              <w:rPr>
                <w:rFonts w:hint="eastAsia" w:ascii="宋体" w:hAnsi="宋体" w:cs="宋体"/>
                <w:b w:val="0"/>
                <w:bCs w:val="0"/>
                <w:color w:val="auto"/>
                <w:kern w:val="0"/>
                <w:sz w:val="24"/>
                <w:highlight w:val="none"/>
                <w:shd w:val="clear" w:color="auto" w:fill="FFFFFF"/>
                <w:lang w:eastAsia="zh-CN"/>
              </w:rPr>
              <w:t>（</w:t>
            </w:r>
            <w:r>
              <w:rPr>
                <w:rFonts w:hint="eastAsia" w:ascii="宋体" w:hAnsi="宋体" w:cs="宋体"/>
                <w:b w:val="0"/>
                <w:bCs w:val="0"/>
                <w:color w:val="auto"/>
                <w:kern w:val="0"/>
                <w:sz w:val="24"/>
                <w:highlight w:val="none"/>
                <w:shd w:val="clear" w:color="auto" w:fill="FFFFFF"/>
                <w:lang w:val="en-US" w:eastAsia="zh-CN"/>
              </w:rPr>
              <w:t>元</w:t>
            </w:r>
            <w:r>
              <w:rPr>
                <w:rFonts w:hint="eastAsia" w:ascii="宋体" w:hAnsi="宋体" w:cs="宋体"/>
                <w:b w:val="0"/>
                <w:bCs w:val="0"/>
                <w:color w:val="auto"/>
                <w:kern w:val="0"/>
                <w:sz w:val="24"/>
                <w:highlight w:val="none"/>
                <w:shd w:val="clear" w:color="auto" w:fill="FFFFFF"/>
                <w:lang w:eastAsia="zh-CN"/>
              </w:rPr>
              <w:t>）</w:t>
            </w:r>
          </w:p>
        </w:tc>
        <w:tc>
          <w:tcPr>
            <w:tcW w:w="727" w:type="pct"/>
            <w:tcBorders>
              <w:top w:val="single" w:color="666666" w:sz="6" w:space="0"/>
              <w:left w:val="single" w:color="666666" w:sz="6" w:space="0"/>
              <w:bottom w:val="single" w:color="666666" w:sz="6" w:space="0"/>
              <w:right w:val="single" w:color="666666" w:sz="6" w:space="0"/>
            </w:tcBorders>
            <w:shd w:val="clear" w:color="auto" w:fill="FFFFFF"/>
            <w:vAlign w:val="center"/>
          </w:tcPr>
          <w:p w14:paraId="23C660FA">
            <w:pPr>
              <w:widowControl/>
              <w:spacing w:before="75" w:after="75" w:line="435" w:lineRule="atLeast"/>
              <w:jc w:val="center"/>
              <w:rPr>
                <w:rFonts w:hint="eastAsia" w:ascii="宋体" w:hAnsi="宋体" w:eastAsia="宋体" w:cs="宋体"/>
                <w:b w:val="0"/>
                <w:bCs w:val="0"/>
                <w:color w:val="auto"/>
                <w:kern w:val="0"/>
                <w:sz w:val="24"/>
                <w:highlight w:val="none"/>
                <w:shd w:val="clear" w:color="auto" w:fill="FFFFFF"/>
                <w:lang w:eastAsia="zh-CN"/>
              </w:rPr>
            </w:pPr>
            <w:r>
              <w:rPr>
                <w:rFonts w:hint="eastAsia" w:ascii="宋体" w:hAnsi="宋体" w:cs="宋体"/>
                <w:b w:val="0"/>
                <w:bCs w:val="0"/>
                <w:color w:val="auto"/>
                <w:kern w:val="0"/>
                <w:sz w:val="24"/>
                <w:highlight w:val="none"/>
                <w:shd w:val="clear" w:color="auto" w:fill="FFFFFF"/>
                <w:lang w:val="en-US" w:eastAsia="zh-CN"/>
              </w:rPr>
              <w:t>最高总控制价</w:t>
            </w:r>
            <w:r>
              <w:rPr>
                <w:rFonts w:hint="eastAsia" w:ascii="宋体" w:hAnsi="宋体" w:cs="宋体"/>
                <w:b w:val="0"/>
                <w:bCs w:val="0"/>
                <w:color w:val="auto"/>
                <w:kern w:val="0"/>
                <w:sz w:val="24"/>
                <w:highlight w:val="none"/>
                <w:shd w:val="clear" w:color="auto" w:fill="FFFFFF"/>
                <w:lang w:eastAsia="zh-CN"/>
              </w:rPr>
              <w:t>（</w:t>
            </w:r>
            <w:r>
              <w:rPr>
                <w:rFonts w:hint="eastAsia" w:ascii="宋体" w:hAnsi="宋体" w:cs="宋体"/>
                <w:b w:val="0"/>
                <w:bCs w:val="0"/>
                <w:color w:val="auto"/>
                <w:kern w:val="0"/>
                <w:sz w:val="24"/>
                <w:highlight w:val="none"/>
                <w:shd w:val="clear" w:color="auto" w:fill="FFFFFF"/>
                <w:lang w:val="en-US" w:eastAsia="zh-CN"/>
              </w:rPr>
              <w:t>元</w:t>
            </w:r>
            <w:r>
              <w:rPr>
                <w:rFonts w:hint="eastAsia" w:ascii="宋体" w:hAnsi="宋体" w:cs="宋体"/>
                <w:b w:val="0"/>
                <w:bCs w:val="0"/>
                <w:color w:val="auto"/>
                <w:kern w:val="0"/>
                <w:sz w:val="24"/>
                <w:highlight w:val="none"/>
                <w:shd w:val="clear" w:color="auto" w:fill="FFFFFF"/>
                <w:lang w:eastAsia="zh-CN"/>
              </w:rPr>
              <w:t>）</w:t>
            </w:r>
          </w:p>
        </w:tc>
      </w:tr>
      <w:tr w14:paraId="6745361B">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trHeight w:val="941" w:hRule="atLeast"/>
          <w:tblHeader/>
        </w:trPr>
        <w:tc>
          <w:tcPr>
            <w:tcW w:w="527" w:type="pct"/>
            <w:vMerge w:val="restart"/>
            <w:tcBorders>
              <w:top w:val="single" w:color="666666" w:sz="6" w:space="0"/>
              <w:left w:val="single" w:color="666666" w:sz="6" w:space="0"/>
              <w:right w:val="single" w:color="666666" w:sz="6" w:space="0"/>
            </w:tcBorders>
            <w:shd w:val="clear" w:color="auto" w:fill="FFFFFF"/>
            <w:vAlign w:val="center"/>
          </w:tcPr>
          <w:p w14:paraId="365FDAAD">
            <w:pPr>
              <w:widowControl/>
              <w:spacing w:before="75" w:after="75" w:line="435" w:lineRule="atLeast"/>
              <w:jc w:val="center"/>
              <w:rPr>
                <w:rFonts w:ascii="宋体" w:hAnsi="宋体" w:cs="宋体"/>
                <w:b w:val="0"/>
                <w:bCs w:val="0"/>
                <w:color w:val="auto"/>
                <w:kern w:val="0"/>
                <w:sz w:val="24"/>
                <w:highlight w:val="none"/>
                <w:shd w:val="clear" w:color="auto" w:fill="FFFFFF"/>
              </w:rPr>
            </w:pPr>
            <w:r>
              <w:rPr>
                <w:rFonts w:hint="eastAsia" w:ascii="宋体" w:hAnsi="宋体" w:cs="宋体"/>
                <w:b w:val="0"/>
                <w:bCs w:val="0"/>
                <w:color w:val="auto"/>
                <w:kern w:val="0"/>
                <w:sz w:val="24"/>
                <w:highlight w:val="none"/>
                <w:shd w:val="clear" w:color="auto" w:fill="FFFFFF"/>
              </w:rPr>
              <w:t>1</w:t>
            </w:r>
          </w:p>
        </w:tc>
        <w:tc>
          <w:tcPr>
            <w:tcW w:w="522" w:type="pct"/>
            <w:tcBorders>
              <w:top w:val="single" w:color="666666" w:sz="6" w:space="0"/>
              <w:left w:val="single" w:color="666666" w:sz="6" w:space="0"/>
              <w:bottom w:val="single" w:color="666666" w:sz="6" w:space="0"/>
              <w:right w:val="single" w:color="666666" w:sz="6" w:space="0"/>
            </w:tcBorders>
            <w:shd w:val="clear" w:color="auto" w:fill="FFFFFF"/>
            <w:vAlign w:val="center"/>
          </w:tcPr>
          <w:p w14:paraId="02FB05BC">
            <w:pPr>
              <w:widowControl/>
              <w:spacing w:before="75" w:after="75" w:line="435" w:lineRule="atLeast"/>
              <w:jc w:val="center"/>
              <w:rPr>
                <w:rFonts w:ascii="宋体" w:hAnsi="宋体" w:cs="宋体"/>
                <w:b w:val="0"/>
                <w:bCs w:val="0"/>
                <w:color w:val="auto"/>
                <w:kern w:val="0"/>
                <w:sz w:val="24"/>
                <w:highlight w:val="none"/>
                <w:shd w:val="clear" w:color="auto" w:fill="FFFFFF"/>
              </w:rPr>
            </w:pPr>
            <w:r>
              <w:rPr>
                <w:rFonts w:hint="eastAsia" w:ascii="宋体" w:hAnsi="宋体" w:cs="宋体"/>
                <w:b w:val="0"/>
                <w:bCs w:val="0"/>
                <w:color w:val="auto"/>
                <w:kern w:val="0"/>
                <w:sz w:val="24"/>
                <w:highlight w:val="none"/>
                <w:shd w:val="clear" w:color="auto" w:fill="FFFFFF"/>
              </w:rPr>
              <w:t>1-1</w:t>
            </w:r>
          </w:p>
        </w:tc>
        <w:tc>
          <w:tcPr>
            <w:tcW w:w="1206" w:type="pct"/>
            <w:tcBorders>
              <w:top w:val="single" w:color="666666" w:sz="6" w:space="0"/>
              <w:left w:val="single" w:color="666666" w:sz="6" w:space="0"/>
              <w:bottom w:val="single" w:color="666666" w:sz="6" w:space="0"/>
              <w:right w:val="single" w:color="666666" w:sz="6" w:space="0"/>
            </w:tcBorders>
            <w:shd w:val="clear" w:color="auto" w:fill="FFFFFF"/>
            <w:vAlign w:val="center"/>
          </w:tcPr>
          <w:p w14:paraId="0D0D9E51">
            <w:pPr>
              <w:widowControl/>
              <w:spacing w:before="75" w:after="75" w:line="435" w:lineRule="atLeast"/>
              <w:jc w:val="center"/>
              <w:rPr>
                <w:rFonts w:hint="eastAsia" w:ascii="宋体" w:hAnsi="宋体" w:eastAsia="宋体" w:cs="宋体"/>
                <w:b w:val="0"/>
                <w:bCs w:val="0"/>
                <w:color w:val="auto"/>
                <w:kern w:val="0"/>
                <w:sz w:val="24"/>
                <w:highlight w:val="none"/>
                <w:shd w:val="clear" w:color="auto" w:fill="FFFFFF"/>
                <w:lang w:eastAsia="zh-CN"/>
              </w:rPr>
            </w:pPr>
            <w:r>
              <w:rPr>
                <w:rFonts w:hint="eastAsia" w:ascii="宋体" w:hAnsi="宋体" w:eastAsia="宋体" w:cs="宋体"/>
                <w:b w:val="0"/>
                <w:bCs w:val="0"/>
                <w:color w:val="auto"/>
                <w:kern w:val="0"/>
                <w:sz w:val="24"/>
                <w:highlight w:val="none"/>
                <w:shd w:val="clear" w:color="auto" w:fill="FFFFFF"/>
                <w:lang w:eastAsia="zh-CN"/>
              </w:rPr>
              <w:t>生物显微镜</w:t>
            </w:r>
          </w:p>
        </w:tc>
        <w:tc>
          <w:tcPr>
            <w:tcW w:w="466" w:type="pct"/>
            <w:tcBorders>
              <w:top w:val="single" w:color="666666" w:sz="6" w:space="0"/>
              <w:left w:val="single" w:color="666666" w:sz="6" w:space="0"/>
              <w:bottom w:val="single" w:color="666666" w:sz="6" w:space="0"/>
              <w:right w:val="single" w:color="666666" w:sz="6" w:space="0"/>
            </w:tcBorders>
            <w:shd w:val="clear" w:color="auto" w:fill="FFFFFF"/>
            <w:vAlign w:val="center"/>
          </w:tcPr>
          <w:p w14:paraId="56815B44">
            <w:pPr>
              <w:widowControl/>
              <w:spacing w:before="75" w:after="75" w:line="435" w:lineRule="atLeast"/>
              <w:jc w:val="center"/>
              <w:rPr>
                <w:rFonts w:hint="default" w:eastAsia="宋体"/>
                <w:b w:val="0"/>
                <w:bCs w:val="0"/>
                <w:color w:val="auto"/>
                <w:highlight w:val="none"/>
                <w:lang w:val="en-US" w:eastAsia="zh-CN"/>
              </w:rPr>
            </w:pPr>
            <w:r>
              <w:rPr>
                <w:rFonts w:hint="eastAsia"/>
                <w:b w:val="0"/>
                <w:bCs w:val="0"/>
                <w:color w:val="auto"/>
                <w:highlight w:val="none"/>
                <w:lang w:val="en-US" w:eastAsia="zh-CN"/>
              </w:rPr>
              <w:t>2台</w:t>
            </w:r>
          </w:p>
        </w:tc>
        <w:tc>
          <w:tcPr>
            <w:tcW w:w="869" w:type="pct"/>
            <w:tcBorders>
              <w:top w:val="single" w:color="666666" w:sz="6" w:space="0"/>
              <w:left w:val="single" w:color="666666" w:sz="6" w:space="0"/>
              <w:bottom w:val="single" w:color="666666" w:sz="6" w:space="0"/>
              <w:right w:val="single" w:color="666666" w:sz="6" w:space="0"/>
            </w:tcBorders>
            <w:shd w:val="clear" w:color="auto" w:fill="FFFFFF"/>
            <w:vAlign w:val="center"/>
          </w:tcPr>
          <w:p w14:paraId="76AE0C7D">
            <w:pPr>
              <w:widowControl/>
              <w:spacing w:before="75" w:after="75" w:line="435" w:lineRule="atLeast"/>
              <w:jc w:val="center"/>
              <w:rPr>
                <w:rFonts w:hint="default" w:ascii="宋体" w:hAnsi="宋体" w:cs="宋体"/>
                <w:b w:val="0"/>
                <w:bCs w:val="0"/>
                <w:color w:val="auto"/>
                <w:kern w:val="0"/>
                <w:sz w:val="24"/>
                <w:highlight w:val="none"/>
                <w:shd w:val="clear" w:color="auto" w:fill="FFFFFF"/>
                <w:lang w:val="en-US" w:eastAsia="zh-CN"/>
              </w:rPr>
            </w:pPr>
            <w:r>
              <w:rPr>
                <w:rFonts w:hint="eastAsia" w:ascii="宋体" w:hAnsi="宋体" w:cs="宋体"/>
                <w:b w:val="0"/>
                <w:bCs w:val="0"/>
                <w:color w:val="auto"/>
                <w:kern w:val="0"/>
                <w:sz w:val="24"/>
                <w:highlight w:val="none"/>
                <w:shd w:val="clear" w:color="auto" w:fill="FFFFFF"/>
                <w:lang w:val="en-US" w:eastAsia="zh-CN"/>
              </w:rPr>
              <w:t>9325.00</w:t>
            </w:r>
          </w:p>
        </w:tc>
        <w:tc>
          <w:tcPr>
            <w:tcW w:w="680" w:type="pct"/>
            <w:tcBorders>
              <w:top w:val="single" w:color="666666" w:sz="6" w:space="0"/>
              <w:left w:val="single" w:color="666666" w:sz="6" w:space="0"/>
              <w:bottom w:val="single" w:color="666666" w:sz="6" w:space="0"/>
              <w:right w:val="single" w:color="666666" w:sz="6" w:space="0"/>
            </w:tcBorders>
            <w:shd w:val="clear" w:color="auto" w:fill="FFFFFF"/>
            <w:vAlign w:val="center"/>
          </w:tcPr>
          <w:p w14:paraId="10289503">
            <w:pPr>
              <w:widowControl/>
              <w:spacing w:before="75" w:after="75" w:line="435" w:lineRule="atLeast"/>
              <w:jc w:val="center"/>
              <w:rPr>
                <w:rFonts w:hint="eastAsia" w:ascii="宋体" w:hAnsi="宋体" w:eastAsia="宋体" w:cs="宋体"/>
                <w:b w:val="0"/>
                <w:bCs w:val="0"/>
                <w:color w:val="auto"/>
                <w:kern w:val="0"/>
                <w:sz w:val="24"/>
                <w:highlight w:val="none"/>
                <w:shd w:val="clear" w:color="auto" w:fill="FFFFFF"/>
                <w:lang w:eastAsia="zh-CN"/>
              </w:rPr>
            </w:pPr>
            <w:r>
              <w:rPr>
                <w:rFonts w:hint="eastAsia" w:ascii="宋体" w:hAnsi="宋体" w:cs="宋体"/>
                <w:b w:val="0"/>
                <w:bCs w:val="0"/>
                <w:color w:val="auto"/>
                <w:kern w:val="0"/>
                <w:sz w:val="24"/>
                <w:highlight w:val="none"/>
                <w:shd w:val="clear" w:color="auto" w:fill="FFFFFF"/>
                <w:lang w:val="en-US" w:eastAsia="zh-CN"/>
              </w:rPr>
              <w:t xml:space="preserve">18650.00 </w:t>
            </w:r>
          </w:p>
        </w:tc>
        <w:tc>
          <w:tcPr>
            <w:tcW w:w="727" w:type="pct"/>
            <w:vMerge w:val="restart"/>
            <w:tcBorders>
              <w:top w:val="single" w:color="666666" w:sz="6" w:space="0"/>
              <w:left w:val="single" w:color="666666" w:sz="6" w:space="0"/>
              <w:right w:val="single" w:color="666666" w:sz="6" w:space="0"/>
            </w:tcBorders>
            <w:shd w:val="clear" w:color="auto" w:fill="FFFFFF"/>
            <w:vAlign w:val="center"/>
          </w:tcPr>
          <w:p w14:paraId="232E59AA">
            <w:pPr>
              <w:widowControl/>
              <w:spacing w:before="75" w:after="75" w:line="435" w:lineRule="atLeast"/>
              <w:jc w:val="center"/>
              <w:rPr>
                <w:rFonts w:hint="eastAsia" w:ascii="宋体" w:hAnsi="宋体" w:eastAsia="宋体" w:cs="宋体"/>
                <w:b w:val="0"/>
                <w:bCs w:val="0"/>
                <w:color w:val="auto"/>
                <w:kern w:val="0"/>
                <w:sz w:val="24"/>
                <w:highlight w:val="none"/>
                <w:shd w:val="clear" w:color="auto" w:fill="FFFFFF"/>
                <w:lang w:eastAsia="zh-CN"/>
              </w:rPr>
            </w:pPr>
            <w:r>
              <w:rPr>
                <w:rFonts w:hint="eastAsia" w:ascii="宋体" w:hAnsi="宋体" w:cs="宋体"/>
                <w:b w:val="0"/>
                <w:bCs w:val="0"/>
                <w:color w:val="auto"/>
                <w:kern w:val="0"/>
                <w:sz w:val="24"/>
                <w:highlight w:val="none"/>
                <w:shd w:val="clear" w:color="auto" w:fill="FFFFFF"/>
                <w:lang w:val="en-US" w:eastAsia="zh-CN"/>
              </w:rPr>
              <w:t xml:space="preserve">110000.00 </w:t>
            </w:r>
          </w:p>
        </w:tc>
      </w:tr>
      <w:tr w14:paraId="2419B93F">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trHeight w:val="941" w:hRule="atLeast"/>
          <w:tblHeader/>
        </w:trPr>
        <w:tc>
          <w:tcPr>
            <w:tcW w:w="527" w:type="pct"/>
            <w:vMerge w:val="continue"/>
            <w:tcBorders>
              <w:left w:val="single" w:color="666666" w:sz="6" w:space="0"/>
              <w:right w:val="single" w:color="666666" w:sz="6" w:space="0"/>
            </w:tcBorders>
            <w:shd w:val="clear" w:color="auto" w:fill="FFFFFF"/>
            <w:vAlign w:val="center"/>
          </w:tcPr>
          <w:p w14:paraId="49BC279C">
            <w:pPr>
              <w:widowControl/>
              <w:spacing w:before="75" w:after="75" w:line="435" w:lineRule="atLeast"/>
              <w:jc w:val="center"/>
              <w:rPr>
                <w:rFonts w:hint="eastAsia" w:ascii="宋体" w:hAnsi="宋体" w:cs="宋体"/>
                <w:b w:val="0"/>
                <w:bCs w:val="0"/>
                <w:color w:val="auto"/>
                <w:kern w:val="0"/>
                <w:sz w:val="24"/>
                <w:highlight w:val="none"/>
                <w:shd w:val="clear" w:color="auto" w:fill="FFFFFF"/>
              </w:rPr>
            </w:pPr>
          </w:p>
        </w:tc>
        <w:tc>
          <w:tcPr>
            <w:tcW w:w="522" w:type="pct"/>
            <w:tcBorders>
              <w:top w:val="single" w:color="666666" w:sz="6" w:space="0"/>
              <w:left w:val="single" w:color="666666" w:sz="6" w:space="0"/>
              <w:bottom w:val="single" w:color="666666" w:sz="6" w:space="0"/>
              <w:right w:val="single" w:color="666666" w:sz="6" w:space="0"/>
            </w:tcBorders>
            <w:shd w:val="clear" w:color="auto" w:fill="FFFFFF"/>
            <w:vAlign w:val="center"/>
          </w:tcPr>
          <w:p w14:paraId="1A1CE5B6">
            <w:pPr>
              <w:widowControl/>
              <w:spacing w:before="75" w:after="75" w:line="435" w:lineRule="atLeast"/>
              <w:jc w:val="center"/>
              <w:rPr>
                <w:rFonts w:hint="default" w:ascii="宋体" w:hAnsi="宋体" w:eastAsia="宋体" w:cs="宋体"/>
                <w:b w:val="0"/>
                <w:bCs w:val="0"/>
                <w:color w:val="auto"/>
                <w:kern w:val="0"/>
                <w:sz w:val="24"/>
                <w:highlight w:val="none"/>
                <w:shd w:val="clear" w:color="auto" w:fill="FFFFFF"/>
                <w:lang w:val="en-US" w:eastAsia="zh-CN"/>
              </w:rPr>
            </w:pPr>
            <w:r>
              <w:rPr>
                <w:rFonts w:hint="eastAsia" w:ascii="宋体" w:hAnsi="宋体" w:cs="宋体"/>
                <w:b w:val="0"/>
                <w:bCs w:val="0"/>
                <w:color w:val="auto"/>
                <w:kern w:val="0"/>
                <w:sz w:val="24"/>
                <w:highlight w:val="none"/>
                <w:shd w:val="clear" w:color="auto" w:fill="FFFFFF"/>
                <w:lang w:val="en-US" w:eastAsia="zh-CN"/>
              </w:rPr>
              <w:t>1-2</w:t>
            </w:r>
          </w:p>
        </w:tc>
        <w:tc>
          <w:tcPr>
            <w:tcW w:w="1206" w:type="pct"/>
            <w:tcBorders>
              <w:top w:val="single" w:color="666666" w:sz="6" w:space="0"/>
              <w:left w:val="single" w:color="666666" w:sz="6" w:space="0"/>
              <w:bottom w:val="single" w:color="666666" w:sz="6" w:space="0"/>
              <w:right w:val="single" w:color="666666" w:sz="6" w:space="0"/>
            </w:tcBorders>
            <w:shd w:val="clear" w:color="auto" w:fill="FFFFFF"/>
            <w:vAlign w:val="center"/>
          </w:tcPr>
          <w:p w14:paraId="1EEB469E">
            <w:pPr>
              <w:widowControl/>
              <w:spacing w:before="75" w:after="75" w:line="435" w:lineRule="atLeast"/>
              <w:jc w:val="center"/>
              <w:rPr>
                <w:rFonts w:hint="eastAsia" w:ascii="宋体" w:hAnsi="宋体" w:cs="宋体"/>
                <w:b w:val="0"/>
                <w:bCs w:val="0"/>
                <w:color w:val="auto"/>
                <w:kern w:val="0"/>
                <w:sz w:val="24"/>
                <w:highlight w:val="none"/>
                <w:shd w:val="clear" w:color="auto" w:fill="FFFFFF"/>
                <w:lang w:eastAsia="zh-CN"/>
              </w:rPr>
            </w:pPr>
            <w:r>
              <w:rPr>
                <w:rFonts w:hint="eastAsia" w:ascii="宋体" w:hAnsi="宋体" w:cs="宋体"/>
                <w:b w:val="0"/>
                <w:bCs w:val="0"/>
                <w:color w:val="auto"/>
                <w:kern w:val="0"/>
                <w:sz w:val="24"/>
                <w:highlight w:val="none"/>
                <w:shd w:val="clear" w:color="auto" w:fill="FFFFFF"/>
                <w:lang w:eastAsia="zh-CN"/>
              </w:rPr>
              <w:t>超纯水机</w:t>
            </w:r>
          </w:p>
        </w:tc>
        <w:tc>
          <w:tcPr>
            <w:tcW w:w="466" w:type="pct"/>
            <w:tcBorders>
              <w:top w:val="single" w:color="666666" w:sz="6" w:space="0"/>
              <w:left w:val="single" w:color="666666" w:sz="6" w:space="0"/>
              <w:bottom w:val="single" w:color="666666" w:sz="6" w:space="0"/>
              <w:right w:val="single" w:color="666666" w:sz="6" w:space="0"/>
            </w:tcBorders>
            <w:shd w:val="clear" w:color="auto" w:fill="FFFFFF"/>
            <w:vAlign w:val="center"/>
          </w:tcPr>
          <w:p w14:paraId="3BEEBFC2">
            <w:pPr>
              <w:widowControl/>
              <w:spacing w:before="75" w:after="75" w:line="435" w:lineRule="atLeast"/>
              <w:jc w:val="center"/>
              <w:rPr>
                <w:rFonts w:hint="eastAsia"/>
                <w:b w:val="0"/>
                <w:bCs w:val="0"/>
                <w:color w:val="auto"/>
                <w:highlight w:val="none"/>
              </w:rPr>
            </w:pPr>
            <w:r>
              <w:rPr>
                <w:rFonts w:hint="eastAsia"/>
                <w:b w:val="0"/>
                <w:bCs w:val="0"/>
                <w:color w:val="auto"/>
                <w:highlight w:val="none"/>
                <w:lang w:val="en-US" w:eastAsia="zh-CN"/>
              </w:rPr>
              <w:t>2台</w:t>
            </w:r>
          </w:p>
        </w:tc>
        <w:tc>
          <w:tcPr>
            <w:tcW w:w="869" w:type="pct"/>
            <w:tcBorders>
              <w:top w:val="single" w:color="666666" w:sz="6" w:space="0"/>
              <w:left w:val="single" w:color="666666" w:sz="6" w:space="0"/>
              <w:bottom w:val="single" w:color="666666" w:sz="6" w:space="0"/>
              <w:right w:val="single" w:color="666666" w:sz="6" w:space="0"/>
            </w:tcBorders>
            <w:shd w:val="clear" w:color="auto" w:fill="FFFFFF"/>
            <w:vAlign w:val="center"/>
          </w:tcPr>
          <w:p w14:paraId="05B15769">
            <w:pPr>
              <w:widowControl/>
              <w:spacing w:before="75" w:after="75" w:line="435" w:lineRule="atLeast"/>
              <w:jc w:val="center"/>
              <w:rPr>
                <w:rFonts w:hint="default" w:ascii="宋体" w:hAnsi="宋体" w:cs="宋体"/>
                <w:b w:val="0"/>
                <w:bCs w:val="0"/>
                <w:color w:val="auto"/>
                <w:kern w:val="0"/>
                <w:sz w:val="24"/>
                <w:highlight w:val="none"/>
                <w:shd w:val="clear" w:color="auto" w:fill="FFFFFF"/>
                <w:lang w:val="en-US" w:eastAsia="zh-CN"/>
              </w:rPr>
            </w:pPr>
            <w:r>
              <w:rPr>
                <w:rFonts w:hint="eastAsia" w:ascii="宋体" w:hAnsi="宋体" w:cs="宋体"/>
                <w:b w:val="0"/>
                <w:bCs w:val="0"/>
                <w:color w:val="auto"/>
                <w:kern w:val="0"/>
                <w:sz w:val="24"/>
                <w:highlight w:val="none"/>
                <w:shd w:val="clear" w:color="auto" w:fill="FFFFFF"/>
                <w:lang w:val="en-US" w:eastAsia="zh-CN"/>
              </w:rPr>
              <w:t>42575.00</w:t>
            </w:r>
          </w:p>
        </w:tc>
        <w:tc>
          <w:tcPr>
            <w:tcW w:w="680" w:type="pct"/>
            <w:tcBorders>
              <w:top w:val="single" w:color="666666" w:sz="6" w:space="0"/>
              <w:left w:val="single" w:color="666666" w:sz="6" w:space="0"/>
              <w:bottom w:val="single" w:color="666666" w:sz="6" w:space="0"/>
              <w:right w:val="single" w:color="666666" w:sz="6" w:space="0"/>
            </w:tcBorders>
            <w:shd w:val="clear" w:color="auto" w:fill="FFFFFF"/>
            <w:vAlign w:val="center"/>
          </w:tcPr>
          <w:p w14:paraId="722D96A7">
            <w:pPr>
              <w:widowControl/>
              <w:spacing w:before="75" w:after="75" w:line="435" w:lineRule="atLeast"/>
              <w:jc w:val="center"/>
              <w:rPr>
                <w:rFonts w:hint="default" w:ascii="宋体" w:hAnsi="宋体" w:cs="宋体"/>
                <w:b w:val="0"/>
                <w:bCs w:val="0"/>
                <w:color w:val="auto"/>
                <w:kern w:val="0"/>
                <w:sz w:val="24"/>
                <w:highlight w:val="none"/>
                <w:shd w:val="clear" w:color="auto" w:fill="FFFFFF"/>
                <w:lang w:val="en-US" w:eastAsia="zh-CN"/>
              </w:rPr>
            </w:pPr>
            <w:r>
              <w:rPr>
                <w:rFonts w:hint="eastAsia" w:ascii="宋体" w:hAnsi="宋体" w:cs="宋体"/>
                <w:b w:val="0"/>
                <w:bCs w:val="0"/>
                <w:color w:val="auto"/>
                <w:kern w:val="0"/>
                <w:sz w:val="24"/>
                <w:highlight w:val="none"/>
                <w:shd w:val="clear" w:color="auto" w:fill="FFFFFF"/>
                <w:lang w:val="en-US" w:eastAsia="zh-CN"/>
              </w:rPr>
              <w:t>85150.00</w:t>
            </w:r>
          </w:p>
        </w:tc>
        <w:tc>
          <w:tcPr>
            <w:tcW w:w="727" w:type="pct"/>
            <w:vMerge w:val="continue"/>
            <w:tcBorders>
              <w:left w:val="single" w:color="666666" w:sz="6" w:space="0"/>
              <w:right w:val="single" w:color="666666" w:sz="6" w:space="0"/>
            </w:tcBorders>
            <w:shd w:val="clear" w:color="auto" w:fill="FFFFFF"/>
            <w:vAlign w:val="center"/>
          </w:tcPr>
          <w:p w14:paraId="57D19123">
            <w:pPr>
              <w:widowControl/>
              <w:spacing w:before="75" w:after="75" w:line="435" w:lineRule="atLeast"/>
              <w:jc w:val="center"/>
              <w:rPr>
                <w:rFonts w:hint="eastAsia" w:ascii="宋体" w:hAnsi="宋体" w:cs="宋体"/>
                <w:b w:val="0"/>
                <w:bCs w:val="0"/>
                <w:color w:val="auto"/>
                <w:kern w:val="0"/>
                <w:sz w:val="24"/>
                <w:highlight w:val="none"/>
                <w:shd w:val="clear" w:color="auto" w:fill="FFFFFF"/>
                <w:lang w:val="en-US" w:eastAsia="zh-CN"/>
              </w:rPr>
            </w:pPr>
          </w:p>
        </w:tc>
      </w:tr>
      <w:tr w14:paraId="2FBB32AF">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trHeight w:val="941" w:hRule="atLeast"/>
          <w:tblHeader/>
        </w:trPr>
        <w:tc>
          <w:tcPr>
            <w:tcW w:w="527" w:type="pct"/>
            <w:vMerge w:val="continue"/>
            <w:tcBorders>
              <w:left w:val="single" w:color="666666" w:sz="6" w:space="0"/>
              <w:right w:val="single" w:color="666666" w:sz="6" w:space="0"/>
            </w:tcBorders>
            <w:shd w:val="clear" w:color="auto" w:fill="FFFFFF"/>
            <w:vAlign w:val="center"/>
          </w:tcPr>
          <w:p w14:paraId="5477736A">
            <w:pPr>
              <w:widowControl/>
              <w:spacing w:before="75" w:after="75" w:line="435" w:lineRule="atLeast"/>
              <w:jc w:val="center"/>
              <w:rPr>
                <w:rFonts w:hint="eastAsia" w:ascii="宋体" w:hAnsi="宋体" w:cs="宋体"/>
                <w:b w:val="0"/>
                <w:bCs w:val="0"/>
                <w:color w:val="auto"/>
                <w:kern w:val="0"/>
                <w:sz w:val="24"/>
                <w:highlight w:val="none"/>
                <w:shd w:val="clear" w:color="auto" w:fill="FFFFFF"/>
              </w:rPr>
            </w:pPr>
          </w:p>
        </w:tc>
        <w:tc>
          <w:tcPr>
            <w:tcW w:w="522" w:type="pct"/>
            <w:tcBorders>
              <w:top w:val="single" w:color="666666" w:sz="6" w:space="0"/>
              <w:left w:val="single" w:color="666666" w:sz="6" w:space="0"/>
              <w:bottom w:val="single" w:color="666666" w:sz="6" w:space="0"/>
              <w:right w:val="single" w:color="666666" w:sz="6" w:space="0"/>
            </w:tcBorders>
            <w:shd w:val="clear" w:color="auto" w:fill="FFFFFF"/>
            <w:vAlign w:val="center"/>
          </w:tcPr>
          <w:p w14:paraId="281C17AB">
            <w:pPr>
              <w:widowControl/>
              <w:spacing w:before="75" w:after="75" w:line="435" w:lineRule="atLeast"/>
              <w:jc w:val="center"/>
              <w:rPr>
                <w:rFonts w:hint="default" w:ascii="宋体" w:hAnsi="宋体" w:eastAsia="宋体" w:cs="宋体"/>
                <w:b w:val="0"/>
                <w:bCs w:val="0"/>
                <w:color w:val="auto"/>
                <w:kern w:val="0"/>
                <w:sz w:val="24"/>
                <w:highlight w:val="none"/>
                <w:shd w:val="clear" w:color="auto" w:fill="FFFFFF"/>
                <w:lang w:val="en-US" w:eastAsia="zh-CN"/>
              </w:rPr>
            </w:pPr>
            <w:r>
              <w:rPr>
                <w:rFonts w:hint="eastAsia" w:ascii="宋体" w:hAnsi="宋体" w:cs="宋体"/>
                <w:b w:val="0"/>
                <w:bCs w:val="0"/>
                <w:color w:val="auto"/>
                <w:kern w:val="0"/>
                <w:sz w:val="24"/>
                <w:highlight w:val="none"/>
                <w:shd w:val="clear" w:color="auto" w:fill="FFFFFF"/>
                <w:lang w:val="en-US" w:eastAsia="zh-CN"/>
              </w:rPr>
              <w:t>1-3</w:t>
            </w:r>
          </w:p>
        </w:tc>
        <w:tc>
          <w:tcPr>
            <w:tcW w:w="1206" w:type="pct"/>
            <w:tcBorders>
              <w:top w:val="single" w:color="666666" w:sz="6" w:space="0"/>
              <w:left w:val="single" w:color="666666" w:sz="6" w:space="0"/>
              <w:bottom w:val="single" w:color="666666" w:sz="6" w:space="0"/>
              <w:right w:val="single" w:color="666666" w:sz="6" w:space="0"/>
            </w:tcBorders>
            <w:shd w:val="clear" w:color="auto" w:fill="FFFFFF"/>
            <w:vAlign w:val="center"/>
          </w:tcPr>
          <w:p w14:paraId="0B3720F4">
            <w:pPr>
              <w:widowControl/>
              <w:spacing w:before="75" w:after="75" w:line="435" w:lineRule="atLeast"/>
              <w:jc w:val="center"/>
              <w:rPr>
                <w:rFonts w:hint="eastAsia" w:ascii="宋体" w:hAnsi="宋体" w:cs="宋体"/>
                <w:b w:val="0"/>
                <w:bCs w:val="0"/>
                <w:color w:val="auto"/>
                <w:kern w:val="0"/>
                <w:sz w:val="24"/>
                <w:highlight w:val="none"/>
                <w:shd w:val="clear" w:color="auto" w:fill="FFFFFF"/>
                <w:lang w:eastAsia="zh-CN"/>
              </w:rPr>
            </w:pPr>
            <w:r>
              <w:rPr>
                <w:rFonts w:hint="eastAsia" w:ascii="宋体" w:hAnsi="宋体" w:cs="宋体"/>
                <w:b w:val="0"/>
                <w:bCs w:val="0"/>
                <w:color w:val="auto"/>
                <w:kern w:val="0"/>
                <w:sz w:val="24"/>
                <w:highlight w:val="none"/>
                <w:shd w:val="clear" w:color="auto" w:fill="FFFFFF"/>
                <w:lang w:eastAsia="zh-CN"/>
              </w:rPr>
              <w:t>疟原虫各期形态与蠕虫卵鉴别教学玻片套装</w:t>
            </w:r>
          </w:p>
        </w:tc>
        <w:tc>
          <w:tcPr>
            <w:tcW w:w="466" w:type="pct"/>
            <w:tcBorders>
              <w:top w:val="single" w:color="666666" w:sz="6" w:space="0"/>
              <w:left w:val="single" w:color="666666" w:sz="6" w:space="0"/>
              <w:bottom w:val="single" w:color="666666" w:sz="6" w:space="0"/>
              <w:right w:val="single" w:color="666666" w:sz="6" w:space="0"/>
            </w:tcBorders>
            <w:shd w:val="clear" w:color="auto" w:fill="FFFFFF"/>
            <w:vAlign w:val="center"/>
          </w:tcPr>
          <w:p w14:paraId="7857CF22">
            <w:pPr>
              <w:widowControl/>
              <w:spacing w:before="75" w:after="75" w:line="435" w:lineRule="atLeast"/>
              <w:jc w:val="center"/>
              <w:rPr>
                <w:rFonts w:hint="default" w:eastAsia="宋体"/>
                <w:b w:val="0"/>
                <w:bCs w:val="0"/>
                <w:color w:val="auto"/>
                <w:highlight w:val="none"/>
                <w:lang w:val="en-US" w:eastAsia="zh-CN"/>
              </w:rPr>
            </w:pPr>
            <w:r>
              <w:rPr>
                <w:rFonts w:hint="eastAsia"/>
                <w:b w:val="0"/>
                <w:bCs w:val="0"/>
                <w:color w:val="auto"/>
                <w:highlight w:val="none"/>
                <w:lang w:val="en-US" w:eastAsia="zh-CN"/>
              </w:rPr>
              <w:t>1套</w:t>
            </w:r>
          </w:p>
        </w:tc>
        <w:tc>
          <w:tcPr>
            <w:tcW w:w="869" w:type="pct"/>
            <w:tcBorders>
              <w:top w:val="single" w:color="666666" w:sz="6" w:space="0"/>
              <w:left w:val="single" w:color="666666" w:sz="6" w:space="0"/>
              <w:bottom w:val="single" w:color="666666" w:sz="6" w:space="0"/>
              <w:right w:val="single" w:color="666666" w:sz="6" w:space="0"/>
            </w:tcBorders>
            <w:shd w:val="clear" w:color="auto" w:fill="FFFFFF"/>
            <w:vAlign w:val="center"/>
          </w:tcPr>
          <w:p w14:paraId="2652F797">
            <w:pPr>
              <w:widowControl/>
              <w:spacing w:before="75" w:after="75" w:line="435" w:lineRule="atLeast"/>
              <w:jc w:val="center"/>
              <w:rPr>
                <w:rFonts w:hint="default" w:ascii="宋体" w:hAnsi="宋体" w:cs="宋体"/>
                <w:b w:val="0"/>
                <w:bCs w:val="0"/>
                <w:color w:val="auto"/>
                <w:kern w:val="0"/>
                <w:sz w:val="24"/>
                <w:highlight w:val="none"/>
                <w:shd w:val="clear" w:color="auto" w:fill="FFFFFF"/>
                <w:lang w:val="en-US" w:eastAsia="zh-CN"/>
              </w:rPr>
            </w:pPr>
            <w:r>
              <w:rPr>
                <w:rFonts w:hint="eastAsia" w:ascii="宋体" w:hAnsi="宋体" w:cs="宋体"/>
                <w:b w:val="0"/>
                <w:bCs w:val="0"/>
                <w:color w:val="auto"/>
                <w:kern w:val="0"/>
                <w:sz w:val="24"/>
                <w:highlight w:val="none"/>
                <w:shd w:val="clear" w:color="auto" w:fill="FFFFFF"/>
                <w:lang w:val="en-US" w:eastAsia="zh-CN"/>
              </w:rPr>
              <w:t>6200.00</w:t>
            </w:r>
          </w:p>
        </w:tc>
        <w:tc>
          <w:tcPr>
            <w:tcW w:w="680" w:type="pct"/>
            <w:tcBorders>
              <w:top w:val="single" w:color="666666" w:sz="6" w:space="0"/>
              <w:left w:val="single" w:color="666666" w:sz="6" w:space="0"/>
              <w:bottom w:val="single" w:color="666666" w:sz="6" w:space="0"/>
              <w:right w:val="single" w:color="666666" w:sz="6" w:space="0"/>
            </w:tcBorders>
            <w:shd w:val="clear" w:color="auto" w:fill="FFFFFF"/>
            <w:vAlign w:val="center"/>
          </w:tcPr>
          <w:p w14:paraId="05E653E7">
            <w:pPr>
              <w:widowControl/>
              <w:spacing w:before="75" w:after="75" w:line="435" w:lineRule="atLeast"/>
              <w:jc w:val="center"/>
              <w:rPr>
                <w:rFonts w:hint="default" w:ascii="宋体" w:hAnsi="宋体" w:cs="宋体"/>
                <w:b w:val="0"/>
                <w:bCs w:val="0"/>
                <w:color w:val="auto"/>
                <w:kern w:val="0"/>
                <w:sz w:val="24"/>
                <w:highlight w:val="none"/>
                <w:shd w:val="clear" w:color="auto" w:fill="FFFFFF"/>
                <w:lang w:val="en-US" w:eastAsia="zh-CN"/>
              </w:rPr>
            </w:pPr>
            <w:r>
              <w:rPr>
                <w:rFonts w:hint="eastAsia" w:ascii="宋体" w:hAnsi="宋体" w:cs="宋体"/>
                <w:b w:val="0"/>
                <w:bCs w:val="0"/>
                <w:color w:val="auto"/>
                <w:kern w:val="0"/>
                <w:sz w:val="24"/>
                <w:highlight w:val="none"/>
                <w:shd w:val="clear" w:color="auto" w:fill="FFFFFF"/>
                <w:lang w:val="en-US" w:eastAsia="zh-CN"/>
              </w:rPr>
              <w:t>6200.00</w:t>
            </w:r>
          </w:p>
        </w:tc>
        <w:tc>
          <w:tcPr>
            <w:tcW w:w="727" w:type="pct"/>
            <w:vMerge w:val="continue"/>
            <w:tcBorders>
              <w:left w:val="single" w:color="666666" w:sz="6" w:space="0"/>
              <w:right w:val="single" w:color="666666" w:sz="6" w:space="0"/>
            </w:tcBorders>
            <w:shd w:val="clear" w:color="auto" w:fill="FFFFFF"/>
            <w:vAlign w:val="center"/>
          </w:tcPr>
          <w:p w14:paraId="345F277B">
            <w:pPr>
              <w:widowControl/>
              <w:spacing w:before="75" w:after="75" w:line="435" w:lineRule="atLeast"/>
              <w:jc w:val="center"/>
              <w:rPr>
                <w:rFonts w:hint="eastAsia" w:ascii="宋体" w:hAnsi="宋体" w:cs="宋体"/>
                <w:b w:val="0"/>
                <w:bCs w:val="0"/>
                <w:color w:val="auto"/>
                <w:kern w:val="0"/>
                <w:sz w:val="24"/>
                <w:highlight w:val="none"/>
                <w:shd w:val="clear" w:color="auto" w:fill="FFFFFF"/>
                <w:lang w:val="en-US" w:eastAsia="zh-CN"/>
              </w:rPr>
            </w:pPr>
          </w:p>
        </w:tc>
      </w:tr>
    </w:tbl>
    <w:p w14:paraId="3A5D82ED">
      <w:pPr>
        <w:pStyle w:val="12"/>
        <w:spacing w:before="55" w:beforeAutospacing="0" w:after="55" w:afterAutospacing="0"/>
        <w:rPr>
          <w:rFonts w:hint="eastAsia"/>
          <w:b/>
          <w:color w:val="auto"/>
        </w:rPr>
      </w:pPr>
    </w:p>
    <w:p w14:paraId="0D1E3099">
      <w:pPr>
        <w:pStyle w:val="12"/>
        <w:spacing w:before="55" w:beforeAutospacing="0" w:after="55" w:afterAutospacing="0"/>
        <w:rPr>
          <w:rFonts w:hint="default" w:eastAsia="宋体"/>
          <w:b/>
          <w:color w:val="auto"/>
          <w:lang w:val="en-US" w:eastAsia="zh-CN"/>
        </w:rPr>
      </w:pPr>
      <w:r>
        <w:rPr>
          <w:rFonts w:hint="eastAsia"/>
          <w:b/>
          <w:color w:val="auto"/>
          <w:lang w:val="en-US" w:eastAsia="zh-CN"/>
        </w:rPr>
        <w:t>注：超过最高控制单价及最高控制价的，视为无效投标。</w:t>
      </w:r>
    </w:p>
    <w:p w14:paraId="056ADF14">
      <w:pPr>
        <w:pStyle w:val="12"/>
        <w:spacing w:before="55" w:beforeAutospacing="0" w:after="55" w:afterAutospacing="0"/>
        <w:rPr>
          <w:b/>
          <w:color w:val="auto"/>
        </w:rPr>
      </w:pPr>
      <w:r>
        <w:rPr>
          <w:rFonts w:hint="eastAsia"/>
          <w:b/>
          <w:color w:val="auto"/>
        </w:rPr>
        <w:t>二、技术和服务要求</w:t>
      </w:r>
    </w:p>
    <w:p w14:paraId="3642578B">
      <w:pPr>
        <w:adjustRightInd w:val="0"/>
        <w:spacing w:line="420" w:lineRule="exact"/>
        <w:jc w:val="left"/>
        <w:rPr>
          <w:rFonts w:hint="eastAsia" w:ascii="宋体" w:hAnsi="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（一）</w:t>
      </w:r>
      <w:r>
        <w:rPr>
          <w:rFonts w:hint="eastAsia" w:ascii="宋体" w:hAnsi="宋体" w:cs="宋体"/>
          <w:b/>
          <w:bCs/>
          <w:color w:val="auto"/>
          <w:kern w:val="2"/>
          <w:sz w:val="24"/>
          <w:szCs w:val="24"/>
          <w:lang w:val="en-US" w:eastAsia="zh-CN" w:bidi="ar-SA"/>
        </w:rPr>
        <w:t>品目号1-1 生物显微镜</w:t>
      </w:r>
    </w:p>
    <w:p w14:paraId="7D6A2574">
      <w:pPr>
        <w:adjustRightInd w:val="0"/>
        <w:spacing w:line="420" w:lineRule="exact"/>
        <w:ind w:firstLine="241" w:firstLineChars="100"/>
        <w:jc w:val="left"/>
        <w:rPr>
          <w:rFonts w:hint="default" w:ascii="宋体" w:hAnsi="宋体" w:cs="宋体"/>
          <w:b/>
          <w:bCs/>
          <w:color w:val="auto"/>
          <w:kern w:val="2"/>
          <w:sz w:val="24"/>
          <w:szCs w:val="24"/>
          <w:lang w:val="en-US" w:eastAsia="zh-CN" w:bidi="ar-SA"/>
        </w:rPr>
      </w:pPr>
      <w:r>
        <w:rPr>
          <w:rFonts w:hint="eastAsia" w:ascii="宋体" w:hAnsi="宋体" w:cs="宋体"/>
          <w:b/>
          <w:bCs/>
          <w:color w:val="auto"/>
          <w:kern w:val="2"/>
          <w:sz w:val="24"/>
          <w:szCs w:val="24"/>
          <w:lang w:val="en-US" w:eastAsia="zh-CN" w:bidi="ar-SA"/>
        </w:rPr>
        <w:t>数量：2台</w:t>
      </w:r>
    </w:p>
    <w:p w14:paraId="20D8E5CE">
      <w:pPr>
        <w:pStyle w:val="12"/>
        <w:spacing w:before="55" w:beforeAutospacing="0" w:after="55" w:afterAutospacing="0"/>
        <w:jc w:val="lef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1、光学系统：无限远光学校正系统，齐焦距离必须为国际标准45mm。</w:t>
      </w:r>
    </w:p>
    <w:p w14:paraId="243AE953">
      <w:pPr>
        <w:pStyle w:val="12"/>
        <w:spacing w:before="55" w:beforeAutospacing="0" w:after="55" w:afterAutospacing="0"/>
        <w:jc w:val="lef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2、载物台：钢丝传动式机械载物台，无外漏支架式设计，杰出的耐用性及移动平稳性，避免割伤手指，带可移动刻度片夹，尺寸：120×132mm，行程为：76mm（X）×30mm（Y）。</w:t>
      </w:r>
    </w:p>
    <w:p w14:paraId="305228E5">
      <w:pPr>
        <w:pStyle w:val="12"/>
        <w:spacing w:before="55" w:beforeAutospacing="0" w:after="55" w:afterAutospacing="0"/>
        <w:jc w:val="lef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物镜转换器：≥4孔物镜转盘，内倾式，便于上样和滴加镜油。</w:t>
      </w:r>
    </w:p>
    <w:p w14:paraId="1544CE21">
      <w:pPr>
        <w:pStyle w:val="12"/>
        <w:spacing w:before="55" w:beforeAutospacing="0" w:after="55" w:afterAutospacing="0"/>
        <w:jc w:val="lef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4、聚光镜：阿贝聚光镜（带孔径光阑 N.A.1.25）。</w:t>
      </w:r>
    </w:p>
    <w:p w14:paraId="7EC76BF2">
      <w:pPr>
        <w:pStyle w:val="12"/>
        <w:spacing w:before="55" w:beforeAutospacing="0" w:after="55" w:afterAutospacing="0"/>
        <w:jc w:val="lef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5、目镜：10×（视野数≥20），左右目镜的屈光度单独可调，含测微尺。</w:t>
      </w:r>
    </w:p>
    <w:p w14:paraId="3AC0BD20">
      <w:pPr>
        <w:pStyle w:val="12"/>
        <w:spacing w:before="55" w:beforeAutospacing="0" w:after="55" w:afterAutospacing="0"/>
        <w:jc w:val="lef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6、观察镜筒：双目观察筒，瞳距调整范围48-75mm，倾斜角度30°，带屈光度调节，360°可旋转，铰链式，眼点高度≥432.9 mm，视场数≥20。</w:t>
      </w:r>
    </w:p>
    <w:p w14:paraId="0D16C331">
      <w:pPr>
        <w:pStyle w:val="12"/>
        <w:spacing w:before="55" w:beforeAutospacing="0" w:after="55" w:afterAutospacing="0"/>
        <w:jc w:val="lef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7、物镜：平场消色差物镜4只，且须符合以下参数：4X（数值孔径 ≥0.10,工作距离≥27.8mm）；10X（数值孔径≥0.25,工作距离≥8.0mm）；40X（数值孔径≥0.65,工作距离≥0.6mm）；100X（数值孔径≥1.25,工作距离≥0.13mm）。</w:t>
      </w:r>
    </w:p>
    <w:p w14:paraId="081875B1">
      <w:pPr>
        <w:pStyle w:val="12"/>
        <w:spacing w:before="55" w:beforeAutospacing="0" w:after="55" w:afterAutospacing="0"/>
        <w:jc w:val="lef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8、调焦机构：同轴设计的调焦旋钮可准确地进行粗/微调焦，左右两侧都可以操作旋钮，快速对焦；具有预对焦旋钮（防止标本碰撞物镜）和张力调节环（可调节粗调旋钮的张力），微调旋钮每个刻度的移动距离≤2.5um，每转的移动距离≥0.3mm，总的移动范围≥15mm。</w:t>
      </w:r>
    </w:p>
    <w:p w14:paraId="489D0452">
      <w:pPr>
        <w:pStyle w:val="12"/>
        <w:spacing w:before="55" w:beforeAutospacing="0" w:after="55" w:afterAutospacing="0"/>
        <w:jc w:val="lef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照明系统：内置LED，寿命达20000小时。</w:t>
      </w:r>
    </w:p>
    <w:p w14:paraId="18A27DA6">
      <w:pPr>
        <w:pStyle w:val="12"/>
        <w:spacing w:before="55" w:beforeAutospacing="0" w:after="55" w:afterAutospacing="0"/>
        <w:jc w:val="lef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10、防霉装置：双目观察筒、目镜、物镜均做防霉处理。</w:t>
      </w:r>
    </w:p>
    <w:p w14:paraId="352B4477">
      <w:pPr>
        <w:pStyle w:val="12"/>
        <w:spacing w:before="55" w:beforeAutospacing="0" w:after="55" w:afterAutospacing="0"/>
        <w:jc w:val="left"/>
        <w:rPr>
          <w:rFonts w:hint="eastAsia" w:ascii="宋体" w:hAnsi="宋体" w:cs="宋体"/>
          <w:b/>
          <w:bCs/>
          <w:color w:val="auto"/>
          <w:kern w:val="2"/>
          <w:sz w:val="24"/>
          <w:szCs w:val="24"/>
          <w:lang w:val="en-US" w:eastAsia="zh-CN" w:bidi="ar-SA"/>
        </w:rPr>
      </w:pPr>
      <w:r>
        <w:rPr>
          <w:rFonts w:hint="eastAsia" w:ascii="宋体" w:hAnsi="宋体" w:eastAsia="宋体" w:cs="宋体"/>
          <w:color w:val="auto"/>
          <w:highlight w:val="none"/>
          <w:lang w:val="en-US" w:eastAsia="zh-CN"/>
        </w:rPr>
        <w:t>11、配置要求：主机1台（含目镜测微尺）。</w:t>
      </w:r>
    </w:p>
    <w:p w14:paraId="03F20D6B">
      <w:pPr>
        <w:adjustRightInd w:val="0"/>
        <w:spacing w:line="420" w:lineRule="exact"/>
        <w:jc w:val="left"/>
        <w:rPr>
          <w:rFonts w:hint="eastAsia" w:ascii="宋体" w:hAnsi="宋体" w:cs="宋体"/>
          <w:b/>
          <w:bCs/>
          <w:color w:val="auto"/>
          <w:kern w:val="2"/>
          <w:sz w:val="24"/>
          <w:szCs w:val="24"/>
          <w:lang w:val="en-US" w:eastAsia="zh-CN" w:bidi="ar-SA"/>
        </w:rPr>
      </w:pPr>
      <w:r>
        <w:rPr>
          <w:rFonts w:hint="eastAsia" w:ascii="宋体" w:hAnsi="宋体" w:cs="宋体"/>
          <w:b/>
          <w:bCs/>
          <w:color w:val="auto"/>
          <w:kern w:val="2"/>
          <w:sz w:val="24"/>
          <w:szCs w:val="24"/>
          <w:lang w:val="en-US" w:eastAsia="zh-CN" w:bidi="ar-SA"/>
        </w:rPr>
        <w:t>（二）品目号1-2 超纯水机</w:t>
      </w:r>
    </w:p>
    <w:p w14:paraId="1FF008A3">
      <w:pPr>
        <w:adjustRightInd w:val="0"/>
        <w:spacing w:line="420" w:lineRule="exact"/>
        <w:ind w:firstLine="241" w:firstLineChars="100"/>
        <w:jc w:val="left"/>
        <w:rPr>
          <w:rFonts w:hint="eastAsia" w:ascii="宋体" w:hAnsi="宋体" w:cs="宋体"/>
          <w:b/>
          <w:bCs/>
          <w:color w:val="auto"/>
          <w:kern w:val="2"/>
          <w:sz w:val="24"/>
          <w:szCs w:val="24"/>
          <w:lang w:val="en-US" w:eastAsia="zh-CN" w:bidi="ar-SA"/>
        </w:rPr>
      </w:pPr>
      <w:r>
        <w:rPr>
          <w:rFonts w:hint="eastAsia" w:ascii="宋体" w:hAnsi="宋体" w:cs="宋体"/>
          <w:b/>
          <w:bCs/>
          <w:color w:val="auto"/>
          <w:kern w:val="2"/>
          <w:sz w:val="24"/>
          <w:szCs w:val="24"/>
          <w:lang w:val="en-US" w:eastAsia="zh-CN" w:bidi="ar-SA"/>
        </w:rPr>
        <w:t>数量：2台</w:t>
      </w:r>
    </w:p>
    <w:p w14:paraId="71409C79">
      <w:pPr>
        <w:pStyle w:val="12"/>
        <w:spacing w:before="55" w:beforeAutospacing="0" w:after="55" w:afterAutospacing="0"/>
        <w:jc w:val="lef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水箱与主机等高设计，高度≤60cm，整体宽度之和≤55cm，可台下安装摆放，市政自来水（温度5-40°C，压力1-6bar）进水，采用双级RO+DI工艺，无需中间水箱，在15-35℃环境下可全变频稳定产水≥20L/H，可变流量出水防止喷溅。</w:t>
      </w:r>
    </w:p>
    <w:p w14:paraId="0BA12FB5">
      <w:pPr>
        <w:pStyle w:val="12"/>
        <w:spacing w:before="55" w:beforeAutospacing="0" w:after="55" w:afterAutospacing="0"/>
        <w:jc w:val="lef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2、初级水：产水电导率≤5 μS/cm@25℃，且系统可一键切换内、外循环模式实现电导率≤1 μS/cm@25℃；超纯水：电阻率18.2MΩ·cm@25℃，TOC＜2ppb（在适当运行条件下，典型值＜5ppb），细菌＜0.001CFU/mL，微粒（＞0.2μm）＜1个/mL，内毒素＜0.001EU/mL，DNase＜4pg/mL，RNase＜1pg/mL，蛋白酶＜0.15μg/mL；初级水符合GB/T6682三级水、二级水标准，超纯水符合GB/T 6682一级水、GB/T33087高纯水、GB/T 11446 EW-I标准；可选配可现场加装升级的TOC在线监测模块（测量范围1.0-999.9ppb）和双联脚踏开关，用于实时TOC在线指标监测和分别控制初级水与超纯水的输出。</w:t>
      </w:r>
    </w:p>
    <w:p w14:paraId="0F27DCD0">
      <w:pPr>
        <w:pStyle w:val="12"/>
        <w:spacing w:before="55" w:beforeAutospacing="0" w:after="55" w:afterAutospacing="0"/>
        <w:jc w:val="lef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3、双取水口流速最大均可达2 L/min，均可定量取水，定量范围0.1-99.9L，误差±1%；可选配≥10英寸显示屏的远端取水站直接安装于实验室龙头上进行水质监控、系统和耗材状态监测，实现龙头处直取初级水和超纯水。</w:t>
      </w:r>
    </w:p>
    <w:p w14:paraId="04FC1BB3">
      <w:pPr>
        <w:pStyle w:val="12"/>
        <w:spacing w:before="55" w:beforeAutospacing="0" w:after="55" w:afterAutospacing="0"/>
        <w:jc w:val="left"/>
        <w:rPr>
          <w:rFonts w:hint="eastAsia" w:ascii="宋体" w:hAnsi="宋体" w:eastAsia="宋体" w:cs="宋体"/>
          <w:b/>
          <w:bCs/>
          <w:color w:val="auto"/>
          <w:highlight w:val="none"/>
          <w:lang w:val="en-US" w:eastAsia="zh-CN"/>
        </w:rPr>
      </w:pPr>
      <w:r>
        <w:rPr>
          <w:rFonts w:hint="eastAsia" w:ascii="宋体" w:hAnsi="宋体" w:eastAsia="宋体" w:cs="宋体"/>
          <w:color w:val="auto"/>
          <w:highlight w:val="none"/>
          <w:lang w:val="en-US" w:eastAsia="zh-CN"/>
        </w:rPr>
        <w:t>4、纯水储存使用可快速更换的（PET+NY+PE）软质水袋（不允许采用水箱直接储水），有效容积≥25L，连续式液位传感器监测液位，无须使用空气滤器。</w:t>
      </w:r>
      <w:r>
        <w:rPr>
          <w:rFonts w:hint="eastAsia" w:ascii="宋体" w:hAnsi="宋体" w:eastAsia="宋体" w:cs="宋体"/>
          <w:b/>
          <w:bCs/>
          <w:color w:val="auto"/>
          <w:highlight w:val="none"/>
          <w:lang w:val="en-US" w:eastAsia="zh-CN"/>
        </w:rPr>
        <w:t>【安装培训时须现场演示】</w:t>
      </w:r>
    </w:p>
    <w:p w14:paraId="6A4D98C0">
      <w:pPr>
        <w:pStyle w:val="12"/>
        <w:spacing w:before="55" w:beforeAutospacing="0" w:after="55" w:afterAutospacing="0"/>
        <w:jc w:val="lef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5、采用整机模块化设计理念，双级RO模块（一体化设计，整体抛弃式更换）、预处理柱和超纯化柱采用卡槽式密封固定结构设计，所有耗材均支持快速更换且无需专用工具，用户可自行维护。</w:t>
      </w:r>
      <w:r>
        <w:rPr>
          <w:rFonts w:hint="eastAsia" w:ascii="宋体" w:hAnsi="宋体" w:eastAsia="宋体" w:cs="宋体"/>
          <w:b/>
          <w:bCs/>
          <w:color w:val="auto"/>
          <w:highlight w:val="none"/>
          <w:lang w:val="en-US" w:eastAsia="zh-CN"/>
        </w:rPr>
        <w:t>【安装培训时须现场演示】</w:t>
      </w:r>
    </w:p>
    <w:p w14:paraId="1B18AAF4">
      <w:pPr>
        <w:pStyle w:val="12"/>
        <w:spacing w:before="55" w:beforeAutospacing="0" w:after="55" w:afterAutospacing="0"/>
        <w:jc w:val="lef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6、采用≥10英寸防水彩色触摸显示屏，通过颜色即可观看出水质及耗材状态，无需进行任何附加的界面调取操作，系统自带WIFI与4G双通信模块并具备超过十项关键过程指标的实时传感器监测：包括原水电导率、RO产水电导率、UP产水电阻率、RO运行压力、UP运行压力、RO产水流量、浓水流量、UP产水流量、UP水温、RO水温等；通过微信端可获取数据跟踪、运行分析、统计报表等，全面掌握RO及UP系统的运行参数、水质、报警及耗材信息，设备出现异常情况系统会即时通知用户与厂家。</w:t>
      </w:r>
    </w:p>
    <w:p w14:paraId="3D5412EE">
      <w:pPr>
        <w:pStyle w:val="12"/>
        <w:spacing w:before="55" w:beforeAutospacing="0" w:after="55" w:afterAutospacing="0"/>
        <w:jc w:val="lef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7、具备≥8GB的SD卡数据存储功能，可存储产品生命周期的取水、报警和耗材更换记录等运行数据，支持无纸化数据管理；具备RJ45、USB、PLC485和RS232接口，可接入实验室管理平台，具备自动/手动水质打印输出功能，可打印输出取水记录，包含时间、水量、水质等。</w:t>
      </w:r>
    </w:p>
    <w:p w14:paraId="0BB95EA3">
      <w:pPr>
        <w:pStyle w:val="12"/>
        <w:spacing w:before="55" w:beforeAutospacing="0" w:after="55" w:afterAutospacing="0"/>
        <w:jc w:val="left"/>
        <w:rPr>
          <w:rFonts w:hint="eastAsia" w:ascii="宋体" w:hAnsi="宋体" w:eastAsia="宋体" w:cs="宋体"/>
          <w:b/>
          <w:bCs/>
          <w:color w:val="auto"/>
          <w:highlight w:val="none"/>
          <w:lang w:val="en-US" w:eastAsia="zh-CN"/>
        </w:rPr>
      </w:pPr>
      <w:r>
        <w:rPr>
          <w:rFonts w:hint="eastAsia" w:ascii="宋体" w:hAnsi="宋体" w:eastAsia="宋体" w:cs="宋体"/>
          <w:color w:val="auto"/>
          <w:highlight w:val="none"/>
          <w:lang w:val="en-US" w:eastAsia="zh-CN"/>
        </w:rPr>
        <w:t>8、系统自带蓝牙通信模块，可选配≥10寸彩色触屏蓝牙智能控制终端：通过APP绑定并远程管理多台设备，支持调整系统设置、信息查询（运行指标、耗材信息、告警信息）等操作，同时支持历史数据访问与导出功能。</w:t>
      </w:r>
      <w:r>
        <w:rPr>
          <w:rFonts w:hint="eastAsia" w:ascii="宋体" w:hAnsi="宋体" w:eastAsia="宋体" w:cs="宋体"/>
          <w:b/>
          <w:bCs/>
          <w:color w:val="auto"/>
          <w:highlight w:val="none"/>
          <w:lang w:val="en-US" w:eastAsia="zh-CN"/>
        </w:rPr>
        <w:t>【安装培训时须现场演示此功能】</w:t>
      </w:r>
    </w:p>
    <w:p w14:paraId="6B353D60">
      <w:pPr>
        <w:pStyle w:val="12"/>
        <w:spacing w:before="55" w:beforeAutospacing="0" w:after="55" w:afterAutospacing="0"/>
        <w:jc w:val="lef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9、系统具备RO产水质控功能，水质不合格报警提示，不合格产水自动排放。</w:t>
      </w:r>
    </w:p>
    <w:p w14:paraId="6E671F3E">
      <w:pPr>
        <w:pStyle w:val="12"/>
        <w:spacing w:before="55" w:beforeAutospacing="0" w:after="55" w:afterAutospacing="0"/>
        <w:jc w:val="lef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10、配备独立消毒盒，可用于RO和UP系统的在线化学消毒；系统可自动执行完整的消毒清洗程序，无需人工拆除清洗。</w:t>
      </w:r>
    </w:p>
    <w:p w14:paraId="64E17F30">
      <w:pPr>
        <w:pStyle w:val="12"/>
        <w:spacing w:before="55" w:beforeAutospacing="0" w:after="55" w:afterAutospacing="0"/>
        <w:jc w:val="lef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11、安全防护：整机采用低电压元件，确保使用安全，内置多项保护机制，可应对温度、压力、流量、给水异常等问题，机身内部水电路完全分离，具备积水感应漏水保护器，在警报触发时采取强制保护措施。</w:t>
      </w:r>
    </w:p>
    <w:p w14:paraId="6F0090BD">
      <w:pPr>
        <w:pStyle w:val="12"/>
        <w:spacing w:before="55" w:beforeAutospacing="0" w:after="55" w:afterAutospacing="0"/>
        <w:jc w:val="left"/>
        <w:rPr>
          <w:rFonts w:hint="eastAsia" w:ascii="宋体" w:hAnsi="宋体" w:cs="宋体"/>
          <w:b/>
          <w:bCs/>
          <w:color w:val="auto"/>
          <w:kern w:val="2"/>
          <w:sz w:val="24"/>
          <w:szCs w:val="24"/>
          <w:lang w:val="en-US" w:eastAsia="zh-CN" w:bidi="ar-SA"/>
        </w:rPr>
      </w:pPr>
      <w:r>
        <w:rPr>
          <w:rFonts w:hint="eastAsia" w:ascii="宋体" w:hAnsi="宋体" w:eastAsia="宋体" w:cs="宋体"/>
          <w:color w:val="auto"/>
          <w:highlight w:val="none"/>
          <w:lang w:val="en-US" w:eastAsia="zh-CN"/>
        </w:rPr>
        <w:t>12、配置要求：超纯水主机（含物联网模块）*1套，水箱*1套，预处理柱*1组，双波长紫外灯组件*1套，双级反渗透模块*1组，超纯化柱*1组，消毒盒*2个，安装配件包*1套，EDX终端滤器*1个。</w:t>
      </w:r>
    </w:p>
    <w:p w14:paraId="46076E13">
      <w:pPr>
        <w:adjustRightInd w:val="0"/>
        <w:spacing w:line="420" w:lineRule="exact"/>
        <w:jc w:val="left"/>
        <w:rPr>
          <w:rFonts w:hint="default" w:ascii="宋体" w:hAnsi="宋体" w:cs="宋体"/>
          <w:b/>
          <w:bCs/>
          <w:color w:val="auto"/>
          <w:kern w:val="2"/>
          <w:sz w:val="24"/>
          <w:szCs w:val="24"/>
          <w:lang w:val="en-US" w:eastAsia="zh-CN" w:bidi="ar-SA"/>
        </w:rPr>
      </w:pPr>
      <w:r>
        <w:rPr>
          <w:rFonts w:hint="eastAsia" w:ascii="宋体" w:hAnsi="宋体" w:cs="宋体"/>
          <w:b/>
          <w:bCs/>
          <w:color w:val="auto"/>
          <w:kern w:val="2"/>
          <w:sz w:val="24"/>
          <w:szCs w:val="24"/>
          <w:lang w:val="en-US" w:eastAsia="zh-CN" w:bidi="ar-SA"/>
        </w:rPr>
        <w:t>（三）品目号1-3 疟原虫各期形态与蠕虫卵鉴别教学玻片套装</w:t>
      </w:r>
    </w:p>
    <w:p w14:paraId="73019D1C">
      <w:pPr>
        <w:adjustRightInd w:val="0"/>
        <w:spacing w:line="420" w:lineRule="exact"/>
        <w:ind w:firstLine="241" w:firstLineChars="100"/>
        <w:jc w:val="left"/>
        <w:rPr>
          <w:rFonts w:hint="default" w:ascii="宋体" w:hAnsi="宋体" w:eastAsia="宋体" w:cs="宋体"/>
          <w:b/>
          <w:bCs/>
          <w:color w:val="auto"/>
          <w:kern w:val="2"/>
          <w:sz w:val="24"/>
          <w:szCs w:val="24"/>
          <w:lang w:val="en-US" w:eastAsia="zh-CN" w:bidi="ar-SA"/>
        </w:rPr>
      </w:pPr>
      <w:r>
        <w:rPr>
          <w:rFonts w:hint="eastAsia" w:ascii="宋体" w:hAnsi="宋体" w:cs="宋体"/>
          <w:b/>
          <w:bCs/>
          <w:color w:val="auto"/>
          <w:kern w:val="2"/>
          <w:sz w:val="24"/>
          <w:szCs w:val="24"/>
          <w:lang w:val="en-US" w:eastAsia="zh-CN" w:bidi="ar-SA"/>
        </w:rPr>
        <w:t>数量：1套</w:t>
      </w:r>
    </w:p>
    <w:p w14:paraId="36044DE9">
      <w:pPr>
        <w:pStyle w:val="12"/>
        <w:spacing w:before="55" w:beforeAutospacing="0" w:after="55" w:afterAutospacing="0"/>
        <w:jc w:val="left"/>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套装须包含以下各期形态玻片各1片：间日疟原虫环状体、滋养体、裂殖体、雌配子体、雄配子体；恶性疟原虫环状体、配子体；卵形疟原虫环状体、裂殖体、配子体；三日疟原虫环状体、滋养体、裂殖体；各种卵液各1mL：华支睾吸虫虫卵、带绦虫虫卵、微小膜壳绦虫虫卵、蛲虫虫卵、鞭虫虫卵、钩虫卵、阔节裂头绦虫卵、缩小膜壳绦虫卵、毛圆线虫卵、日本血吸虫卵、埃及血吸虫卵、曼氏血吸虫卵、肝片吸虫卵。</w:t>
      </w:r>
    </w:p>
    <w:p w14:paraId="4C9AD843">
      <w:pPr>
        <w:pStyle w:val="12"/>
        <w:spacing w:before="55" w:beforeAutospacing="0" w:after="55" w:afterAutospacing="0"/>
        <w:jc w:val="lef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载玻片规格不小于25*76mm，厚度≤1mm，封片染色均匀，镜下结构须典型清晰，无溢胶现象，并配有标签说明、便于教学。</w:t>
      </w:r>
    </w:p>
    <w:p w14:paraId="661F4E33">
      <w:pPr>
        <w:pStyle w:val="5"/>
        <w:snapToGrid w:val="0"/>
        <w:spacing w:line="300" w:lineRule="auto"/>
        <w:ind w:left="0" w:leftChars="0" w:firstLine="0" w:firstLineChars="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注：</w:t>
      </w:r>
    </w:p>
    <w:p w14:paraId="38D1CFC1">
      <w:pPr>
        <w:pStyle w:val="5"/>
        <w:numPr>
          <w:ilvl w:val="0"/>
          <w:numId w:val="0"/>
        </w:numPr>
        <w:snapToGrid w:val="0"/>
        <w:spacing w:line="300" w:lineRule="auto"/>
        <w:ind w:leftChars="0" w:firstLine="241" w:firstLineChars="100"/>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1.以上技术要求中，有关外观尺寸未作出幅度规定的数值允许误差范围为“±2%”，即谈判供应商所投标产品的外观尺寸数值在谈判文件要求的“±2%”内均算符合谈判文件要求。</w:t>
      </w:r>
    </w:p>
    <w:p w14:paraId="4E0DE040">
      <w:pPr>
        <w:pStyle w:val="5"/>
        <w:numPr>
          <w:ilvl w:val="0"/>
          <w:numId w:val="0"/>
        </w:numPr>
        <w:snapToGrid w:val="0"/>
        <w:spacing w:line="300" w:lineRule="auto"/>
        <w:ind w:leftChars="0" w:firstLine="241" w:firstLineChars="100"/>
        <w:rPr>
          <w:rFonts w:ascii="宋体" w:hAnsi="宋体" w:cs="宋体"/>
          <w:bCs/>
          <w:color w:val="auto"/>
          <w:sz w:val="24"/>
          <w:szCs w:val="24"/>
        </w:rPr>
      </w:pPr>
      <w:r>
        <w:rPr>
          <w:rFonts w:hint="eastAsia" w:ascii="宋体" w:hAnsi="宋体" w:cs="宋体"/>
          <w:b/>
          <w:bCs/>
          <w:color w:val="auto"/>
          <w:sz w:val="24"/>
          <w:szCs w:val="24"/>
          <w:lang w:val="en-US" w:eastAsia="zh-CN"/>
        </w:rPr>
        <w:t>2.</w:t>
      </w:r>
      <w:r>
        <w:rPr>
          <w:rFonts w:hint="eastAsia" w:ascii="宋体" w:hAnsi="宋体" w:cs="宋体"/>
          <w:b/>
          <w:bCs/>
          <w:color w:val="auto"/>
          <w:sz w:val="24"/>
          <w:szCs w:val="24"/>
        </w:rPr>
        <w:t>以上技术要求为采购人最低需求。</w:t>
      </w:r>
      <w:r>
        <w:rPr>
          <w:rFonts w:hint="eastAsia" w:ascii="宋体" w:hAnsi="宋体" w:cs="宋体"/>
          <w:b/>
          <w:bCs/>
          <w:color w:val="auto"/>
          <w:sz w:val="24"/>
          <w:szCs w:val="24"/>
          <w:lang w:eastAsia="zh-CN"/>
        </w:rPr>
        <w:t>谈判供应商</w:t>
      </w:r>
      <w:r>
        <w:rPr>
          <w:rFonts w:hint="eastAsia" w:ascii="宋体" w:hAnsi="宋体" w:cs="宋体"/>
          <w:b/>
          <w:bCs/>
          <w:color w:val="auto"/>
          <w:sz w:val="24"/>
          <w:szCs w:val="24"/>
        </w:rPr>
        <w:t>必须全部满足，投标时对这些条款若有负偏离响应或未响应，按无效投标处理。供应商可提供更优的服务参与投标，提供的服务还须符合国家标准及国家相关强制性要求。</w:t>
      </w:r>
    </w:p>
    <w:p w14:paraId="1328B1E7">
      <w:pPr>
        <w:pStyle w:val="12"/>
        <w:spacing w:before="55" w:beforeAutospacing="0" w:after="55" w:afterAutospacing="0"/>
        <w:rPr>
          <w:bCs/>
          <w:color w:val="auto"/>
          <w:highlight w:val="none"/>
        </w:rPr>
      </w:pPr>
      <w:r>
        <w:rPr>
          <w:rFonts w:hint="eastAsia"/>
          <w:bCs/>
          <w:color w:val="auto"/>
        </w:rPr>
        <w:t>三、</w:t>
      </w:r>
      <w:r>
        <w:rPr>
          <w:b/>
          <w:color w:val="auto"/>
        </w:rPr>
        <w:t>商务条件</w:t>
      </w:r>
      <w:r>
        <w:rPr>
          <w:color w:val="auto"/>
        </w:rPr>
        <w:br w:type="textWrapping"/>
      </w:r>
      <w:r>
        <w:rPr>
          <w:color w:val="auto"/>
          <w:highlight w:val="none"/>
        </w:rPr>
        <w:t>1、</w:t>
      </w:r>
      <w:r>
        <w:rPr>
          <w:rFonts w:hint="eastAsia"/>
          <w:color w:val="auto"/>
          <w:highlight w:val="none"/>
        </w:rPr>
        <w:t>交付</w:t>
      </w:r>
      <w:r>
        <w:rPr>
          <w:color w:val="auto"/>
          <w:highlight w:val="none"/>
        </w:rPr>
        <w:t>地点：</w:t>
      </w:r>
      <w:r>
        <w:rPr>
          <w:rFonts w:hint="eastAsia"/>
          <w:color w:val="auto"/>
          <w:highlight w:val="none"/>
        </w:rPr>
        <w:t>采购人指定地点</w:t>
      </w:r>
      <w:r>
        <w:rPr>
          <w:color w:val="auto"/>
          <w:highlight w:val="none"/>
        </w:rPr>
        <w:br w:type="textWrapping"/>
      </w:r>
      <w:r>
        <w:rPr>
          <w:color w:val="auto"/>
          <w:highlight w:val="none"/>
        </w:rPr>
        <w:t>2、</w:t>
      </w:r>
      <w:r>
        <w:rPr>
          <w:rFonts w:hint="eastAsia"/>
          <w:color w:val="auto"/>
          <w:highlight w:val="none"/>
        </w:rPr>
        <w:t>交付时间</w:t>
      </w:r>
      <w:r>
        <w:rPr>
          <w:color w:val="auto"/>
          <w:highlight w:val="none"/>
        </w:rPr>
        <w:t>：</w:t>
      </w:r>
      <w:r>
        <w:rPr>
          <w:rFonts w:hint="eastAsia"/>
          <w:color w:val="auto"/>
          <w:highlight w:val="none"/>
        </w:rPr>
        <w:t>签订合同后（</w:t>
      </w:r>
      <w:r>
        <w:rPr>
          <w:rFonts w:hint="eastAsia"/>
          <w:color w:val="auto"/>
          <w:highlight w:val="none"/>
          <w:lang w:val="en-US" w:eastAsia="zh-CN"/>
        </w:rPr>
        <w:t>30</w:t>
      </w:r>
      <w:r>
        <w:rPr>
          <w:rFonts w:hint="eastAsia"/>
          <w:color w:val="auto"/>
          <w:highlight w:val="none"/>
        </w:rPr>
        <w:t>）日历天内</w:t>
      </w:r>
      <w:r>
        <w:rPr>
          <w:rFonts w:hint="eastAsia"/>
          <w:color w:val="auto"/>
          <w:highlight w:val="none"/>
          <w:lang w:val="en-US" w:eastAsia="zh-CN"/>
        </w:rPr>
        <w:t>交付使用</w:t>
      </w:r>
      <w:r>
        <w:rPr>
          <w:rFonts w:hint="eastAsia"/>
          <w:color w:val="auto"/>
          <w:highlight w:val="none"/>
        </w:rPr>
        <w:t>。</w:t>
      </w:r>
      <w:r>
        <w:rPr>
          <w:color w:val="auto"/>
          <w:highlight w:val="none"/>
        </w:rPr>
        <w:br w:type="textWrapping"/>
      </w:r>
      <w:r>
        <w:rPr>
          <w:color w:val="auto"/>
          <w:highlight w:val="none"/>
        </w:rPr>
        <w:t>3、交付条件：</w:t>
      </w:r>
      <w:r>
        <w:rPr>
          <w:rFonts w:hint="eastAsia"/>
          <w:color w:val="auto"/>
          <w:highlight w:val="none"/>
        </w:rPr>
        <w:t>经采购人验收合格。</w:t>
      </w:r>
      <w:r>
        <w:rPr>
          <w:color w:val="auto"/>
          <w:highlight w:val="none"/>
        </w:rPr>
        <w:br w:type="textWrapping"/>
      </w:r>
      <w:r>
        <w:rPr>
          <w:color w:val="auto"/>
          <w:highlight w:val="none"/>
        </w:rPr>
        <w:t>4、是否收取履约保证金</w:t>
      </w:r>
      <w:r>
        <w:rPr>
          <w:rFonts w:hint="eastAsia"/>
          <w:color w:val="auto"/>
          <w:highlight w:val="none"/>
        </w:rPr>
        <w:t>：</w:t>
      </w:r>
      <w:r>
        <w:rPr>
          <w:rFonts w:hint="eastAsia"/>
          <w:color w:val="auto"/>
          <w:highlight w:val="none"/>
          <w:lang w:val="en-US" w:eastAsia="zh-CN"/>
        </w:rPr>
        <w:t>否。</w:t>
      </w:r>
    </w:p>
    <w:p w14:paraId="771B1748">
      <w:pPr>
        <w:pStyle w:val="12"/>
        <w:spacing w:before="55" w:beforeAutospacing="0" w:after="55" w:afterAutospacing="0"/>
        <w:rPr>
          <w:color w:val="auto"/>
          <w:highlight w:val="none"/>
        </w:rPr>
      </w:pPr>
      <w:r>
        <w:rPr>
          <w:color w:val="auto"/>
          <w:highlight w:val="none"/>
        </w:rPr>
        <w:t>5、是否邀请</w:t>
      </w:r>
      <w:r>
        <w:rPr>
          <w:rFonts w:hint="eastAsia"/>
          <w:color w:val="auto"/>
          <w:highlight w:val="none"/>
          <w:lang w:eastAsia="zh-CN"/>
        </w:rPr>
        <w:t>供应商</w:t>
      </w:r>
      <w:r>
        <w:rPr>
          <w:color w:val="auto"/>
          <w:highlight w:val="none"/>
        </w:rPr>
        <w:t>参与验收：否</w:t>
      </w:r>
      <w:r>
        <w:rPr>
          <w:color w:val="auto"/>
          <w:highlight w:val="none"/>
        </w:rPr>
        <w:br w:type="textWrapping"/>
      </w:r>
      <w:r>
        <w:rPr>
          <w:color w:val="auto"/>
          <w:highlight w:val="none"/>
        </w:rPr>
        <w:t>6、验收方式数据表格</w:t>
      </w:r>
    </w:p>
    <w:tbl>
      <w:tblPr>
        <w:tblStyle w:val="14"/>
        <w:tblW w:w="8525" w:type="dxa"/>
        <w:tblCellSpacing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705"/>
        <w:gridCol w:w="6820"/>
      </w:tblGrid>
      <w:tr w14:paraId="0D92F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tblCellSpacing w:w="0" w:type="dxa"/>
        </w:trPr>
        <w:tc>
          <w:tcPr>
            <w:tcW w:w="1705" w:type="dxa"/>
            <w:vAlign w:val="center"/>
          </w:tcPr>
          <w:p w14:paraId="3FCDB4CC">
            <w:pPr>
              <w:pStyle w:val="12"/>
              <w:spacing w:before="55" w:beforeAutospacing="0" w:after="55" w:afterAutospacing="0"/>
              <w:jc w:val="center"/>
              <w:rPr>
                <w:color w:val="auto"/>
                <w:highlight w:val="none"/>
              </w:rPr>
            </w:pPr>
            <w:r>
              <w:rPr>
                <w:rFonts w:hint="eastAsia"/>
                <w:color w:val="auto"/>
                <w:highlight w:val="none"/>
              </w:rPr>
              <w:t>验收期次</w:t>
            </w:r>
          </w:p>
        </w:tc>
        <w:tc>
          <w:tcPr>
            <w:tcW w:w="6820" w:type="dxa"/>
            <w:vAlign w:val="center"/>
          </w:tcPr>
          <w:p w14:paraId="12DB28F9">
            <w:pPr>
              <w:pStyle w:val="12"/>
              <w:spacing w:before="55" w:beforeAutospacing="0" w:after="55" w:afterAutospacing="0"/>
              <w:jc w:val="center"/>
              <w:rPr>
                <w:color w:val="auto"/>
                <w:highlight w:val="none"/>
              </w:rPr>
            </w:pPr>
            <w:r>
              <w:rPr>
                <w:rFonts w:hint="eastAsia"/>
                <w:color w:val="auto"/>
                <w:highlight w:val="none"/>
              </w:rPr>
              <w:t>验收期次说明</w:t>
            </w:r>
          </w:p>
        </w:tc>
      </w:tr>
      <w:tr w14:paraId="1C092A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7" w:hRule="atLeast"/>
          <w:tblCellSpacing w:w="0" w:type="dxa"/>
        </w:trPr>
        <w:tc>
          <w:tcPr>
            <w:tcW w:w="1705" w:type="dxa"/>
            <w:vAlign w:val="center"/>
          </w:tcPr>
          <w:p w14:paraId="7FD4030D">
            <w:pPr>
              <w:pStyle w:val="12"/>
              <w:spacing w:before="55" w:beforeAutospacing="0" w:after="55" w:afterAutospacing="0"/>
              <w:jc w:val="center"/>
              <w:rPr>
                <w:color w:val="auto"/>
                <w:highlight w:val="none"/>
              </w:rPr>
            </w:pPr>
            <w:r>
              <w:rPr>
                <w:rFonts w:hint="eastAsia"/>
                <w:color w:val="auto"/>
                <w:highlight w:val="none"/>
              </w:rPr>
              <w:t>1</w:t>
            </w:r>
          </w:p>
        </w:tc>
        <w:tc>
          <w:tcPr>
            <w:tcW w:w="6820" w:type="dxa"/>
            <w:vAlign w:val="center"/>
          </w:tcPr>
          <w:p w14:paraId="54B7FF1F">
            <w:pPr>
              <w:pStyle w:val="12"/>
              <w:spacing w:before="55" w:beforeAutospacing="0" w:after="55" w:afterAutospacing="0"/>
              <w:jc w:val="left"/>
              <w:rPr>
                <w:color w:val="auto"/>
                <w:highlight w:val="none"/>
              </w:rPr>
            </w:pPr>
            <w:r>
              <w:rPr>
                <w:rFonts w:hint="eastAsia"/>
                <w:color w:val="auto"/>
                <w:highlight w:val="none"/>
              </w:rPr>
              <w:t>按国家标准、竞争性</w:t>
            </w:r>
            <w:r>
              <w:rPr>
                <w:rFonts w:hint="eastAsia"/>
                <w:color w:val="auto"/>
                <w:highlight w:val="none"/>
                <w:lang w:val="en-US" w:eastAsia="zh-CN"/>
              </w:rPr>
              <w:t>谈判</w:t>
            </w:r>
            <w:r>
              <w:rPr>
                <w:rFonts w:hint="eastAsia"/>
                <w:color w:val="auto"/>
                <w:highlight w:val="none"/>
              </w:rPr>
              <w:t>文件要求及合同进行验收。满足采购人技术和服务要求，完成采购工作，并经采购人验收合格。</w:t>
            </w:r>
          </w:p>
        </w:tc>
      </w:tr>
    </w:tbl>
    <w:p w14:paraId="4C483B69">
      <w:pPr>
        <w:pStyle w:val="12"/>
        <w:spacing w:before="55" w:beforeAutospacing="0" w:after="55" w:afterAutospacing="0"/>
        <w:rPr>
          <w:color w:val="auto"/>
          <w:highlight w:val="none"/>
        </w:rPr>
      </w:pPr>
      <w:r>
        <w:rPr>
          <w:rFonts w:hint="eastAsia"/>
          <w:color w:val="auto"/>
          <w:highlight w:val="none"/>
        </w:rPr>
        <w:t>7、支付方式数据表格</w:t>
      </w:r>
    </w:p>
    <w:tbl>
      <w:tblPr>
        <w:tblStyle w:val="14"/>
        <w:tblpPr w:leftFromText="180" w:rightFromText="180" w:vertAnchor="text" w:horzAnchor="page" w:tblpX="1685" w:tblpY="349"/>
        <w:tblOverlap w:val="never"/>
        <w:tblW w:w="8525" w:type="dxa"/>
        <w:tblCellSpacing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30"/>
        <w:gridCol w:w="1448"/>
        <w:gridCol w:w="6047"/>
      </w:tblGrid>
      <w:tr w14:paraId="04C911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tblCellSpacing w:w="0" w:type="dxa"/>
        </w:trPr>
        <w:tc>
          <w:tcPr>
            <w:tcW w:w="1030" w:type="dxa"/>
            <w:vAlign w:val="center"/>
          </w:tcPr>
          <w:p w14:paraId="2F1974F7">
            <w:pPr>
              <w:widowControl/>
              <w:jc w:val="center"/>
              <w:rPr>
                <w:rFonts w:ascii="宋体" w:hAnsi="宋体" w:cs="宋体"/>
                <w:color w:val="auto"/>
                <w:kern w:val="0"/>
                <w:sz w:val="24"/>
                <w:highlight w:val="none"/>
              </w:rPr>
            </w:pPr>
            <w:r>
              <w:rPr>
                <w:rFonts w:ascii="宋体" w:hAnsi="宋体" w:cs="宋体"/>
                <w:color w:val="auto"/>
                <w:kern w:val="0"/>
                <w:sz w:val="24"/>
                <w:highlight w:val="none"/>
              </w:rPr>
              <w:t>支付期次</w:t>
            </w:r>
          </w:p>
        </w:tc>
        <w:tc>
          <w:tcPr>
            <w:tcW w:w="1448" w:type="dxa"/>
            <w:vAlign w:val="center"/>
          </w:tcPr>
          <w:p w14:paraId="5F10C4A6">
            <w:pPr>
              <w:widowControl/>
              <w:jc w:val="center"/>
              <w:rPr>
                <w:rFonts w:ascii="宋体" w:hAnsi="宋体" w:cs="宋体"/>
                <w:color w:val="auto"/>
                <w:kern w:val="0"/>
                <w:sz w:val="24"/>
                <w:highlight w:val="none"/>
              </w:rPr>
            </w:pPr>
            <w:r>
              <w:rPr>
                <w:rFonts w:ascii="宋体" w:hAnsi="宋体" w:cs="宋体"/>
                <w:color w:val="auto"/>
                <w:kern w:val="0"/>
                <w:sz w:val="24"/>
                <w:highlight w:val="none"/>
              </w:rPr>
              <w:t>支付比例(%)</w:t>
            </w:r>
          </w:p>
        </w:tc>
        <w:tc>
          <w:tcPr>
            <w:tcW w:w="6047" w:type="dxa"/>
            <w:vAlign w:val="center"/>
          </w:tcPr>
          <w:p w14:paraId="76FF95F1">
            <w:pPr>
              <w:widowControl/>
              <w:jc w:val="center"/>
              <w:rPr>
                <w:rFonts w:ascii="宋体" w:hAnsi="宋体" w:cs="宋体"/>
                <w:color w:val="auto"/>
                <w:kern w:val="0"/>
                <w:sz w:val="24"/>
                <w:highlight w:val="none"/>
              </w:rPr>
            </w:pPr>
            <w:r>
              <w:rPr>
                <w:rFonts w:hint="eastAsia" w:ascii="宋体" w:hAnsi="宋体" w:cs="宋体"/>
                <w:color w:val="auto"/>
                <w:kern w:val="0"/>
                <w:sz w:val="24"/>
                <w:highlight w:val="none"/>
              </w:rPr>
              <w:t>符合采购人的要求</w:t>
            </w:r>
          </w:p>
        </w:tc>
      </w:tr>
      <w:tr w14:paraId="3F0C4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030" w:type="dxa"/>
            <w:vAlign w:val="center"/>
          </w:tcPr>
          <w:p w14:paraId="1D4861EB">
            <w:pPr>
              <w:widowControl/>
              <w:jc w:val="center"/>
              <w:rPr>
                <w:rFonts w:ascii="宋体" w:hAnsi="宋体" w:cs="宋体"/>
                <w:color w:val="auto"/>
                <w:kern w:val="0"/>
                <w:sz w:val="24"/>
                <w:highlight w:val="none"/>
              </w:rPr>
            </w:pPr>
            <w:r>
              <w:rPr>
                <w:rFonts w:ascii="宋体" w:hAnsi="宋体" w:cs="宋体"/>
                <w:color w:val="auto"/>
                <w:kern w:val="0"/>
                <w:sz w:val="24"/>
                <w:highlight w:val="none"/>
              </w:rPr>
              <w:t>1</w:t>
            </w:r>
          </w:p>
        </w:tc>
        <w:tc>
          <w:tcPr>
            <w:tcW w:w="1448" w:type="dxa"/>
            <w:vAlign w:val="center"/>
          </w:tcPr>
          <w:p w14:paraId="3EAEB533">
            <w:pPr>
              <w:widowControl/>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100</w:t>
            </w:r>
          </w:p>
        </w:tc>
        <w:tc>
          <w:tcPr>
            <w:tcW w:w="6047" w:type="dxa"/>
            <w:vAlign w:val="center"/>
          </w:tcPr>
          <w:p w14:paraId="35D70520">
            <w:pPr>
              <w:widowControl/>
              <w:jc w:val="left"/>
              <w:rPr>
                <w:rFonts w:hint="default" w:ascii="宋体" w:hAnsi="宋体" w:eastAsia="宋体" w:cs="宋体"/>
                <w:color w:val="auto"/>
                <w:kern w:val="0"/>
                <w:sz w:val="24"/>
                <w:highlight w:val="none"/>
                <w:lang w:val="en-US" w:eastAsia="zh-CN"/>
              </w:rPr>
            </w:pPr>
            <w:r>
              <w:rPr>
                <w:rFonts w:hint="default" w:ascii="宋体" w:hAnsi="宋体" w:eastAsia="宋体" w:cs="宋体"/>
                <w:color w:val="auto"/>
                <w:kern w:val="0"/>
                <w:sz w:val="24"/>
                <w:highlight w:val="none"/>
                <w:lang w:val="en-US" w:eastAsia="zh-CN"/>
              </w:rPr>
              <w:t>经验收合格后，供应商提供付款所需税务发票等，采购人</w:t>
            </w:r>
            <w:r>
              <w:rPr>
                <w:rFonts w:hint="eastAsia" w:ascii="宋体" w:hAnsi="宋体" w:cs="宋体"/>
                <w:color w:val="auto"/>
                <w:kern w:val="0"/>
                <w:sz w:val="24"/>
                <w:highlight w:val="none"/>
                <w:lang w:val="en-US" w:eastAsia="zh-CN"/>
              </w:rPr>
              <w:t>及时办理国库集中支付手续，</w:t>
            </w:r>
            <w:r>
              <w:rPr>
                <w:rFonts w:hint="default" w:ascii="宋体" w:hAnsi="宋体" w:eastAsia="宋体" w:cs="宋体"/>
                <w:color w:val="auto"/>
                <w:kern w:val="0"/>
                <w:sz w:val="24"/>
                <w:highlight w:val="none"/>
                <w:lang w:val="en-US" w:eastAsia="zh-CN"/>
              </w:rPr>
              <w:t>支付100%项目款项。</w:t>
            </w:r>
          </w:p>
        </w:tc>
      </w:tr>
    </w:tbl>
    <w:p w14:paraId="1955DF61">
      <w:pPr>
        <w:spacing w:line="400" w:lineRule="exact"/>
        <w:rPr>
          <w:rFonts w:hint="eastAsia" w:ascii="宋体" w:hAnsi="宋体" w:cs="宋体"/>
          <w:b/>
          <w:bCs/>
          <w:color w:val="auto"/>
          <w:sz w:val="24"/>
          <w:highlight w:val="none"/>
          <w:lang w:val="en-US" w:eastAsia="zh-CN"/>
        </w:rPr>
      </w:pPr>
      <w:r>
        <w:rPr>
          <w:rFonts w:hint="eastAsia" w:ascii="宋体" w:hAnsi="宋体" w:cs="宋体"/>
          <w:b/>
          <w:bCs/>
          <w:color w:val="auto"/>
          <w:sz w:val="24"/>
          <w:highlight w:val="none"/>
          <w:lang w:val="en-US" w:eastAsia="zh-CN"/>
        </w:rPr>
        <w:t>8、供应商的工作范围</w:t>
      </w:r>
    </w:p>
    <w:p w14:paraId="53A252EE">
      <w:pPr>
        <w:spacing w:line="400" w:lineRule="exact"/>
        <w:rPr>
          <w:rFonts w:hint="eastAsia" w:ascii="宋体" w:hAnsi="宋体" w:cs="宋体"/>
          <w:b w:val="0"/>
          <w:bCs w:val="0"/>
          <w:color w:val="auto"/>
          <w:sz w:val="24"/>
          <w:highlight w:val="none"/>
          <w:lang w:val="en-US" w:eastAsia="zh-CN"/>
        </w:rPr>
      </w:pPr>
      <w:r>
        <w:rPr>
          <w:rFonts w:hint="eastAsia" w:ascii="宋体" w:hAnsi="宋体" w:cs="宋体"/>
          <w:b w:val="0"/>
          <w:bCs w:val="0"/>
          <w:color w:val="auto"/>
          <w:sz w:val="24"/>
          <w:highlight w:val="none"/>
          <w:lang w:val="en-US" w:eastAsia="zh-CN"/>
        </w:rPr>
        <w:t>8.1 供应商必须能提供《采购标的一览表》中的全部货物、配件及工具。</w:t>
      </w:r>
    </w:p>
    <w:p w14:paraId="094A4EE3">
      <w:pPr>
        <w:spacing w:line="400" w:lineRule="exact"/>
        <w:rPr>
          <w:rFonts w:hint="eastAsia" w:ascii="宋体" w:hAnsi="宋体" w:cs="宋体"/>
          <w:b w:val="0"/>
          <w:bCs w:val="0"/>
          <w:color w:val="auto"/>
          <w:sz w:val="24"/>
          <w:highlight w:val="none"/>
          <w:lang w:val="en-US" w:eastAsia="zh-CN"/>
        </w:rPr>
      </w:pPr>
      <w:r>
        <w:rPr>
          <w:rFonts w:hint="eastAsia" w:ascii="宋体" w:hAnsi="宋体" w:cs="宋体"/>
          <w:b w:val="0"/>
          <w:bCs w:val="0"/>
          <w:color w:val="auto"/>
          <w:sz w:val="24"/>
          <w:highlight w:val="none"/>
          <w:lang w:val="en-US" w:eastAsia="zh-CN"/>
        </w:rPr>
        <w:t>8.2 供应商拟提供货物须为全新未使用合格的产品。货物及其辅助装置的铭牌、使用指示、警告指示应以中文或英文及易懂的通用符号来表示，应能够准确无误地表示设备的型号、规格、制造商等内容。</w:t>
      </w:r>
    </w:p>
    <w:p w14:paraId="422FD317">
      <w:pPr>
        <w:spacing w:line="400" w:lineRule="exact"/>
        <w:rPr>
          <w:rFonts w:hint="eastAsia" w:ascii="宋体" w:hAnsi="宋体" w:cs="宋体"/>
          <w:b w:val="0"/>
          <w:bCs w:val="0"/>
          <w:color w:val="auto"/>
          <w:sz w:val="24"/>
          <w:highlight w:val="none"/>
          <w:lang w:val="en-US" w:eastAsia="zh-CN"/>
        </w:rPr>
      </w:pPr>
      <w:r>
        <w:rPr>
          <w:rFonts w:hint="eastAsia" w:ascii="宋体" w:hAnsi="宋体" w:cs="宋体"/>
          <w:b w:val="0"/>
          <w:bCs w:val="0"/>
          <w:color w:val="auto"/>
          <w:sz w:val="24"/>
          <w:highlight w:val="none"/>
          <w:lang w:val="en-US" w:eastAsia="zh-CN"/>
        </w:rPr>
        <w:t>8.3要求供应商提供的其它伴随服务（或义务）</w:t>
      </w:r>
    </w:p>
    <w:p w14:paraId="03731077">
      <w:pPr>
        <w:spacing w:line="400" w:lineRule="exact"/>
        <w:rPr>
          <w:rFonts w:hint="eastAsia" w:ascii="宋体" w:hAnsi="宋体" w:cs="宋体"/>
          <w:b w:val="0"/>
          <w:bCs w:val="0"/>
          <w:color w:val="auto"/>
          <w:sz w:val="24"/>
          <w:highlight w:val="none"/>
          <w:lang w:val="en-US" w:eastAsia="zh-CN"/>
        </w:rPr>
      </w:pPr>
      <w:r>
        <w:rPr>
          <w:rFonts w:hint="eastAsia" w:ascii="宋体" w:hAnsi="宋体" w:cs="宋体"/>
          <w:b w:val="0"/>
          <w:bCs w:val="0"/>
          <w:color w:val="auto"/>
          <w:sz w:val="24"/>
          <w:highlight w:val="none"/>
          <w:lang w:val="en-US" w:eastAsia="zh-CN"/>
        </w:rPr>
        <w:t>8.3.1供货</w:t>
      </w:r>
    </w:p>
    <w:p w14:paraId="5F44E56B">
      <w:pPr>
        <w:spacing w:line="400" w:lineRule="exact"/>
        <w:ind w:firstLine="240" w:firstLineChars="100"/>
        <w:rPr>
          <w:rFonts w:hint="eastAsia" w:ascii="宋体" w:hAnsi="宋体" w:cs="宋体"/>
          <w:b w:val="0"/>
          <w:bCs w:val="0"/>
          <w:color w:val="auto"/>
          <w:sz w:val="24"/>
          <w:highlight w:val="none"/>
          <w:lang w:val="en-US" w:eastAsia="zh-CN"/>
        </w:rPr>
      </w:pPr>
      <w:r>
        <w:rPr>
          <w:rFonts w:hint="eastAsia" w:ascii="宋体" w:hAnsi="宋体" w:cs="宋体"/>
          <w:b w:val="0"/>
          <w:bCs w:val="0"/>
          <w:color w:val="auto"/>
          <w:sz w:val="24"/>
          <w:highlight w:val="none"/>
          <w:lang w:val="en-US" w:eastAsia="zh-CN"/>
        </w:rPr>
        <w:t>中标方必须能按照合同的规定，准时提供货物、配件、材料、工具，并负责所供货物、配件、材料及工具的包装和运输至采购单位指定地点。</w:t>
      </w:r>
    </w:p>
    <w:p w14:paraId="59218B6B">
      <w:pPr>
        <w:spacing w:line="400" w:lineRule="exact"/>
        <w:rPr>
          <w:rFonts w:hint="eastAsia" w:ascii="宋体" w:hAnsi="宋体" w:cs="宋体"/>
          <w:b w:val="0"/>
          <w:bCs w:val="0"/>
          <w:color w:val="auto"/>
          <w:sz w:val="24"/>
          <w:highlight w:val="none"/>
          <w:lang w:val="en-US" w:eastAsia="zh-CN"/>
        </w:rPr>
      </w:pPr>
      <w:r>
        <w:rPr>
          <w:rFonts w:hint="eastAsia" w:ascii="宋体" w:hAnsi="宋体" w:cs="宋体"/>
          <w:b w:val="0"/>
          <w:bCs w:val="0"/>
          <w:color w:val="auto"/>
          <w:sz w:val="24"/>
          <w:highlight w:val="none"/>
          <w:lang w:val="en-US" w:eastAsia="zh-CN"/>
        </w:rPr>
        <w:t>8.3.2验收</w:t>
      </w:r>
    </w:p>
    <w:p w14:paraId="38BD3F3E">
      <w:pPr>
        <w:spacing w:line="400" w:lineRule="exact"/>
        <w:rPr>
          <w:rFonts w:hint="eastAsia" w:ascii="宋体" w:hAnsi="宋体" w:cs="宋体"/>
          <w:b w:val="0"/>
          <w:bCs w:val="0"/>
          <w:color w:val="auto"/>
          <w:sz w:val="24"/>
          <w:highlight w:val="none"/>
          <w:lang w:val="en-US" w:eastAsia="zh-CN"/>
        </w:rPr>
      </w:pPr>
      <w:r>
        <w:rPr>
          <w:rFonts w:hint="eastAsia" w:ascii="宋体" w:hAnsi="宋体" w:cs="宋体"/>
          <w:b w:val="0"/>
          <w:bCs w:val="0"/>
          <w:color w:val="auto"/>
          <w:sz w:val="24"/>
          <w:highlight w:val="none"/>
          <w:lang w:val="en-US" w:eastAsia="zh-CN"/>
        </w:rPr>
        <w:t>①验收标准：依据国家及行业规范、谈判供应商的产品说明书、合格证书及技术资料等；采购文件的规定。</w:t>
      </w:r>
    </w:p>
    <w:p w14:paraId="7B3AECC9">
      <w:pPr>
        <w:spacing w:line="400" w:lineRule="exact"/>
        <w:rPr>
          <w:rFonts w:hint="eastAsia" w:ascii="宋体" w:hAnsi="宋体" w:cs="宋体"/>
          <w:b w:val="0"/>
          <w:bCs w:val="0"/>
          <w:color w:val="auto"/>
          <w:sz w:val="24"/>
          <w:highlight w:val="none"/>
          <w:lang w:val="en-US" w:eastAsia="zh-CN"/>
        </w:rPr>
      </w:pPr>
      <w:r>
        <w:rPr>
          <w:rFonts w:hint="eastAsia" w:ascii="宋体" w:hAnsi="宋体" w:cs="宋体"/>
          <w:b w:val="0"/>
          <w:bCs w:val="0"/>
          <w:color w:val="auto"/>
          <w:sz w:val="24"/>
          <w:highlight w:val="none"/>
          <w:lang w:val="en-US" w:eastAsia="zh-CN"/>
        </w:rPr>
        <w:t>②验收程序：货到初步验收、最终验收二个阶段。</w:t>
      </w:r>
    </w:p>
    <w:p w14:paraId="399CE939">
      <w:pPr>
        <w:spacing w:line="400" w:lineRule="exact"/>
        <w:rPr>
          <w:rFonts w:hint="eastAsia" w:ascii="宋体" w:hAnsi="宋体" w:cs="宋体"/>
          <w:b w:val="0"/>
          <w:bCs w:val="0"/>
          <w:color w:val="auto"/>
          <w:sz w:val="24"/>
          <w:highlight w:val="none"/>
          <w:lang w:val="en-US" w:eastAsia="zh-CN"/>
        </w:rPr>
      </w:pPr>
      <w:r>
        <w:rPr>
          <w:rFonts w:hint="eastAsia" w:ascii="宋体" w:hAnsi="宋体" w:cs="宋体"/>
          <w:b w:val="0"/>
          <w:bCs w:val="0"/>
          <w:color w:val="auto"/>
          <w:sz w:val="24"/>
          <w:highlight w:val="none"/>
          <w:lang w:val="en-US" w:eastAsia="zh-CN"/>
        </w:rPr>
        <w:t>③货到初步验收：所有货物到达采购单位指定交货地点后，由采购单位组织人员与中标方共同进行质量、数量等方面的验收(但不作为最终验收合格的保证)。</w:t>
      </w:r>
    </w:p>
    <w:p w14:paraId="00DE8A2F">
      <w:pPr>
        <w:spacing w:line="400" w:lineRule="exact"/>
        <w:rPr>
          <w:rFonts w:hint="eastAsia" w:ascii="宋体" w:hAnsi="宋体" w:cs="宋体"/>
          <w:b w:val="0"/>
          <w:bCs w:val="0"/>
          <w:color w:val="auto"/>
          <w:sz w:val="24"/>
          <w:highlight w:val="none"/>
          <w:lang w:val="en-US" w:eastAsia="zh-CN"/>
        </w:rPr>
      </w:pPr>
      <w:r>
        <w:rPr>
          <w:rFonts w:hint="eastAsia" w:ascii="宋体" w:hAnsi="宋体" w:cs="宋体"/>
          <w:b w:val="0"/>
          <w:bCs w:val="0"/>
          <w:color w:val="auto"/>
          <w:sz w:val="24"/>
          <w:highlight w:val="none"/>
          <w:lang w:val="en-US" w:eastAsia="zh-CN"/>
        </w:rPr>
        <w:t>④最终验收：货物安装完毕调试后，由采购单位负责联系相关管理部门与中标方按规定的标准要求进行联合验收，验收合格后办理相关手续。</w:t>
      </w:r>
    </w:p>
    <w:p w14:paraId="194006DC">
      <w:pPr>
        <w:spacing w:line="400" w:lineRule="exact"/>
        <w:rPr>
          <w:rFonts w:hint="eastAsia" w:ascii="宋体" w:hAnsi="宋体" w:cs="宋体"/>
          <w:b w:val="0"/>
          <w:bCs w:val="0"/>
          <w:color w:val="auto"/>
          <w:sz w:val="24"/>
          <w:highlight w:val="none"/>
          <w:lang w:val="en-US" w:eastAsia="zh-CN"/>
        </w:rPr>
      </w:pPr>
      <w:r>
        <w:rPr>
          <w:rFonts w:hint="eastAsia" w:ascii="宋体" w:hAnsi="宋体" w:cs="宋体"/>
          <w:b w:val="0"/>
          <w:bCs w:val="0"/>
          <w:color w:val="auto"/>
          <w:sz w:val="24"/>
          <w:highlight w:val="none"/>
          <w:lang w:val="en-US" w:eastAsia="zh-CN"/>
        </w:rPr>
        <w:t>⑤安装调试验收说明：经安装调试验收合格后如货物出现质量（非人为因素）问题，所造成的损失仍由中标方承担。</w:t>
      </w:r>
    </w:p>
    <w:p w14:paraId="00725B9E">
      <w:pPr>
        <w:spacing w:line="400" w:lineRule="exact"/>
        <w:rPr>
          <w:rFonts w:hint="eastAsia" w:ascii="宋体" w:hAnsi="宋体" w:cs="宋体"/>
          <w:b w:val="0"/>
          <w:bCs w:val="0"/>
          <w:color w:val="auto"/>
          <w:sz w:val="24"/>
          <w:highlight w:val="none"/>
          <w:lang w:val="en-US" w:eastAsia="zh-CN"/>
        </w:rPr>
      </w:pPr>
      <w:r>
        <w:rPr>
          <w:rFonts w:hint="eastAsia" w:ascii="宋体" w:hAnsi="宋体" w:cs="宋体"/>
          <w:b w:val="0"/>
          <w:bCs w:val="0"/>
          <w:color w:val="auto"/>
          <w:sz w:val="24"/>
          <w:highlight w:val="none"/>
          <w:lang w:val="en-US" w:eastAsia="zh-CN"/>
        </w:rPr>
        <w:t>8.3.3验收要求：验收时成交人代表必须在场，采购人根据合同、谈判文件及成交人提供的技术资料等方面进行验收。</w:t>
      </w:r>
    </w:p>
    <w:p w14:paraId="4C864742">
      <w:pPr>
        <w:spacing w:line="400" w:lineRule="exact"/>
        <w:rPr>
          <w:rFonts w:hint="default" w:ascii="宋体" w:hAnsi="宋体" w:cs="宋体"/>
          <w:b/>
          <w:bCs/>
          <w:color w:val="auto"/>
          <w:sz w:val="24"/>
          <w:highlight w:val="none"/>
          <w:lang w:val="en-US" w:eastAsia="zh-CN"/>
        </w:rPr>
      </w:pPr>
      <w:r>
        <w:rPr>
          <w:rFonts w:hint="eastAsia" w:ascii="宋体" w:hAnsi="宋体" w:cs="宋体"/>
          <w:b/>
          <w:bCs/>
          <w:color w:val="auto"/>
          <w:sz w:val="24"/>
          <w:highlight w:val="none"/>
          <w:lang w:val="en-US" w:eastAsia="zh-CN"/>
        </w:rPr>
        <w:t>8.3.4产品供货验收时须提供加盖原厂公章或原厂授权代理商公章（包含采购方最终用户信息及设备序列号）的质保承诺函凭证（壹年），所有设备均须现场安装培训，超纯水机须原厂技术人员（出示有效工作证件）进行现场安装和培训。</w:t>
      </w:r>
    </w:p>
    <w:p w14:paraId="5F0E2155">
      <w:pPr>
        <w:spacing w:line="400" w:lineRule="exact"/>
        <w:rPr>
          <w:rFonts w:hint="eastAsia" w:ascii="宋体" w:hAnsi="宋体" w:cs="宋体"/>
          <w:b/>
          <w:bCs/>
          <w:color w:val="auto"/>
          <w:sz w:val="24"/>
          <w:highlight w:val="none"/>
          <w:lang w:val="en-US" w:eastAsia="zh-CN"/>
        </w:rPr>
      </w:pPr>
      <w:r>
        <w:rPr>
          <w:rFonts w:hint="eastAsia" w:ascii="宋体" w:hAnsi="宋体" w:cs="宋体"/>
          <w:b/>
          <w:bCs/>
          <w:color w:val="auto"/>
          <w:sz w:val="24"/>
          <w:highlight w:val="none"/>
          <w:lang w:val="en-US" w:eastAsia="zh-CN"/>
        </w:rPr>
        <w:t>9、保修期及售后服务</w:t>
      </w:r>
    </w:p>
    <w:p w14:paraId="4A3EF16F">
      <w:pPr>
        <w:spacing w:line="400" w:lineRule="exact"/>
        <w:rPr>
          <w:rFonts w:hint="eastAsia" w:ascii="宋体" w:hAnsi="宋体" w:cs="宋体"/>
          <w:b w:val="0"/>
          <w:bCs w:val="0"/>
          <w:color w:val="auto"/>
          <w:sz w:val="24"/>
          <w:highlight w:val="none"/>
          <w:lang w:val="en-US" w:eastAsia="zh-CN"/>
        </w:rPr>
      </w:pPr>
      <w:r>
        <w:rPr>
          <w:rFonts w:hint="eastAsia" w:ascii="宋体" w:hAnsi="宋体" w:cs="宋体"/>
          <w:b w:val="0"/>
          <w:bCs w:val="0"/>
          <w:color w:val="auto"/>
          <w:sz w:val="24"/>
          <w:highlight w:val="none"/>
          <w:lang w:val="en-US" w:eastAsia="zh-CN"/>
        </w:rPr>
        <w:t>9.1成交人根据采购人指定的地点现场免费安装、调试验收中标产品，经验收合格之日起提供</w:t>
      </w:r>
      <w:r>
        <w:rPr>
          <w:rFonts w:hint="eastAsia" w:ascii="宋体" w:hAnsi="宋体" w:cs="宋体"/>
          <w:b/>
          <w:bCs/>
          <w:color w:val="auto"/>
          <w:sz w:val="24"/>
          <w:highlight w:val="none"/>
          <w:u w:val="single"/>
          <w:lang w:val="en-US" w:eastAsia="zh-CN"/>
        </w:rPr>
        <w:t>12个月</w:t>
      </w:r>
      <w:r>
        <w:rPr>
          <w:rFonts w:hint="eastAsia" w:ascii="宋体" w:hAnsi="宋体" w:cs="宋体"/>
          <w:b w:val="0"/>
          <w:bCs w:val="0"/>
          <w:color w:val="auto"/>
          <w:sz w:val="24"/>
          <w:highlight w:val="none"/>
          <w:lang w:val="en-US" w:eastAsia="zh-CN"/>
        </w:rPr>
        <w:t>免费质量保修期（国家、厂家或招标文件对设备或配件另有约定更长免费保修期限的从其约定），在免费质保期内如出现故障，成交人应免费提供咨询、维修服务，包括免费更换货物及零部件。</w:t>
      </w:r>
    </w:p>
    <w:p w14:paraId="16C32D4C">
      <w:pPr>
        <w:spacing w:line="400" w:lineRule="exact"/>
        <w:rPr>
          <w:rFonts w:hint="eastAsia" w:ascii="宋体" w:hAnsi="宋体" w:cs="宋体"/>
          <w:b w:val="0"/>
          <w:bCs w:val="0"/>
          <w:color w:val="auto"/>
          <w:sz w:val="24"/>
          <w:highlight w:val="none"/>
          <w:lang w:val="en-US" w:eastAsia="zh-CN"/>
        </w:rPr>
      </w:pPr>
      <w:r>
        <w:rPr>
          <w:rFonts w:hint="eastAsia" w:ascii="宋体" w:hAnsi="宋体" w:cs="宋体"/>
          <w:b w:val="0"/>
          <w:bCs w:val="0"/>
          <w:color w:val="auto"/>
          <w:sz w:val="24"/>
          <w:highlight w:val="none"/>
          <w:lang w:val="en-US" w:eastAsia="zh-CN"/>
        </w:rPr>
        <w:t>9.2免费质保期内货物一旦出现故障，成交人响应时间不超过2小时，检修人员应在24小时内到设备安装地点排除故障，如48小时内不能排除故障，成交人应负责提供替代设备，其费用由成交人承担。</w:t>
      </w:r>
    </w:p>
    <w:p w14:paraId="24BDBE96">
      <w:pPr>
        <w:spacing w:line="400" w:lineRule="exact"/>
        <w:rPr>
          <w:rFonts w:hint="eastAsia" w:ascii="宋体" w:hAnsi="宋体" w:cs="宋体"/>
          <w:b w:val="0"/>
          <w:bCs w:val="0"/>
          <w:color w:val="auto"/>
          <w:sz w:val="24"/>
          <w:highlight w:val="none"/>
          <w:lang w:val="en-US" w:eastAsia="zh-CN"/>
        </w:rPr>
      </w:pPr>
      <w:r>
        <w:rPr>
          <w:rFonts w:hint="eastAsia" w:ascii="宋体" w:hAnsi="宋体" w:cs="宋体"/>
          <w:b w:val="0"/>
          <w:bCs w:val="0"/>
          <w:color w:val="auto"/>
          <w:sz w:val="24"/>
          <w:highlight w:val="none"/>
          <w:lang w:val="en-US" w:eastAsia="zh-CN"/>
        </w:rPr>
        <w:t>9.3供应商可视自身能力，在投标文件中提供更优、更合理的售后服务承诺。</w:t>
      </w:r>
    </w:p>
    <w:p w14:paraId="7B87827E">
      <w:pPr>
        <w:spacing w:line="400" w:lineRule="exact"/>
        <w:rPr>
          <w:rFonts w:hint="eastAsia" w:ascii="宋体" w:hAnsi="宋体" w:cs="宋体"/>
          <w:b w:val="0"/>
          <w:bCs w:val="0"/>
          <w:color w:val="auto"/>
          <w:sz w:val="24"/>
          <w:highlight w:val="none"/>
          <w:lang w:val="en-US" w:eastAsia="zh-CN"/>
        </w:rPr>
      </w:pPr>
      <w:r>
        <w:rPr>
          <w:rFonts w:hint="eastAsia" w:ascii="宋体" w:hAnsi="宋体" w:cs="宋体"/>
          <w:b w:val="0"/>
          <w:bCs w:val="0"/>
          <w:color w:val="auto"/>
          <w:sz w:val="24"/>
          <w:highlight w:val="none"/>
          <w:lang w:val="en-US" w:eastAsia="zh-CN"/>
        </w:rPr>
        <w:t>9.4中标方供货时，所供货物如有质量问题，应在合同约定的交货及安装时间内及时更换，如无法及时更换，采购单位有权根据实际需要先安装使用，但由此产生的费用和损失均由中标方承担。</w:t>
      </w:r>
    </w:p>
    <w:p w14:paraId="1E8341E9">
      <w:pPr>
        <w:spacing w:line="400" w:lineRule="exact"/>
        <w:rPr>
          <w:rFonts w:hint="eastAsia" w:ascii="宋体" w:hAnsi="宋体" w:cs="宋体"/>
          <w:b w:val="0"/>
          <w:bCs w:val="0"/>
          <w:color w:val="auto"/>
          <w:sz w:val="24"/>
          <w:highlight w:val="none"/>
          <w:lang w:val="en-US" w:eastAsia="zh-CN"/>
        </w:rPr>
      </w:pPr>
      <w:r>
        <w:rPr>
          <w:rFonts w:hint="eastAsia" w:ascii="宋体" w:hAnsi="宋体" w:cs="宋体"/>
          <w:b w:val="0"/>
          <w:bCs w:val="0"/>
          <w:color w:val="auto"/>
          <w:sz w:val="24"/>
          <w:highlight w:val="none"/>
          <w:lang w:val="en-US" w:eastAsia="zh-CN"/>
        </w:rPr>
        <w:t>9.5验收合格后，货物在保修期内出现质量（非人为因素）问题，所造成的损失仍由中标方承担。</w:t>
      </w:r>
    </w:p>
    <w:p w14:paraId="0DE692E9">
      <w:pPr>
        <w:spacing w:line="400" w:lineRule="exact"/>
        <w:rPr>
          <w:rFonts w:hint="eastAsia" w:ascii="宋体" w:hAnsi="宋体" w:cs="宋体"/>
          <w:b/>
          <w:bCs/>
          <w:color w:val="auto"/>
          <w:sz w:val="24"/>
          <w:highlight w:val="none"/>
          <w:lang w:val="en-US" w:eastAsia="zh-CN"/>
        </w:rPr>
      </w:pPr>
      <w:r>
        <w:rPr>
          <w:rFonts w:hint="eastAsia" w:ascii="宋体" w:hAnsi="宋体" w:cs="宋体"/>
          <w:b/>
          <w:bCs/>
          <w:color w:val="auto"/>
          <w:sz w:val="24"/>
          <w:highlight w:val="none"/>
          <w:lang w:val="en-US" w:eastAsia="zh-CN"/>
        </w:rPr>
        <w:t>10、报价要求</w:t>
      </w:r>
    </w:p>
    <w:p w14:paraId="65AF8CD1">
      <w:pPr>
        <w:spacing w:line="400" w:lineRule="exact"/>
        <w:rPr>
          <w:rFonts w:hint="eastAsia" w:ascii="宋体" w:hAnsi="宋体" w:cs="宋体"/>
          <w:b w:val="0"/>
          <w:bCs w:val="0"/>
          <w:color w:val="auto"/>
          <w:sz w:val="24"/>
          <w:highlight w:val="none"/>
          <w:lang w:val="en-US" w:eastAsia="zh-CN"/>
        </w:rPr>
      </w:pPr>
      <w:r>
        <w:rPr>
          <w:rFonts w:hint="eastAsia" w:ascii="宋体" w:hAnsi="宋体" w:cs="宋体"/>
          <w:b w:val="0"/>
          <w:bCs w:val="0"/>
          <w:color w:val="auto"/>
          <w:sz w:val="24"/>
          <w:highlight w:val="none"/>
          <w:lang w:val="en-US" w:eastAsia="zh-CN"/>
        </w:rPr>
        <w:t>10.1根据报价表的内容，有设备组件或零部件的设备要求报出各组件或零部件的单价。</w:t>
      </w:r>
    </w:p>
    <w:p w14:paraId="2D46DC38">
      <w:pPr>
        <w:spacing w:line="400" w:lineRule="exact"/>
        <w:rPr>
          <w:rFonts w:hint="eastAsia" w:ascii="宋体" w:hAnsi="宋体" w:cs="宋体"/>
          <w:b w:val="0"/>
          <w:bCs w:val="0"/>
          <w:color w:val="auto"/>
          <w:sz w:val="24"/>
          <w:highlight w:val="none"/>
          <w:lang w:val="en-US" w:eastAsia="zh-CN"/>
        </w:rPr>
      </w:pPr>
      <w:r>
        <w:rPr>
          <w:rFonts w:hint="eastAsia" w:ascii="宋体" w:hAnsi="宋体" w:cs="宋体"/>
          <w:b w:val="0"/>
          <w:bCs w:val="0"/>
          <w:color w:val="auto"/>
          <w:sz w:val="24"/>
          <w:highlight w:val="none"/>
          <w:lang w:val="en-US" w:eastAsia="zh-CN"/>
        </w:rPr>
        <w:t>10.2 填写投标价格表时应注意下列要求：</w:t>
      </w:r>
    </w:p>
    <w:p w14:paraId="6802A6AD">
      <w:pPr>
        <w:spacing w:line="400" w:lineRule="exact"/>
        <w:rPr>
          <w:rFonts w:hint="eastAsia" w:ascii="宋体" w:hAnsi="宋体" w:cs="宋体"/>
          <w:b w:val="0"/>
          <w:bCs w:val="0"/>
          <w:color w:val="auto"/>
          <w:sz w:val="24"/>
          <w:highlight w:val="none"/>
          <w:lang w:val="en-US" w:eastAsia="zh-CN"/>
        </w:rPr>
      </w:pPr>
      <w:r>
        <w:rPr>
          <w:rFonts w:hint="eastAsia" w:ascii="宋体" w:hAnsi="宋体" w:cs="宋体"/>
          <w:b w:val="0"/>
          <w:bCs w:val="0"/>
          <w:color w:val="auto"/>
          <w:sz w:val="24"/>
          <w:highlight w:val="none"/>
          <w:lang w:val="en-US" w:eastAsia="zh-CN"/>
        </w:rPr>
        <w:t>a.供应商的投标报价应包括供货、运输、安装、调试及通过验收、机构检测费用、人员培训、维护保修、人工、运贮、设计、材料、机械、措施、企业管理费、利润、行政公共事业费、备品备件、税金、材料价格浮动（招标文件另有说明的除外）、现场交叉配合施工增加费（含水电费），以及合同所包含的风险、责任等各项所有应考虑的为完成本项目可能发生的等一切费用。（供应商可在开标一览表及投标分项报价表中详细列出上述费用，如果所列报价不含以上内容，则视为已含在投标货物单价或总价中）。</w:t>
      </w:r>
    </w:p>
    <w:p w14:paraId="0AD20789">
      <w:pPr>
        <w:spacing w:line="400" w:lineRule="exact"/>
        <w:rPr>
          <w:rFonts w:hint="eastAsia" w:ascii="宋体" w:hAnsi="宋体" w:cs="宋体"/>
          <w:b w:val="0"/>
          <w:bCs w:val="0"/>
          <w:color w:val="auto"/>
          <w:sz w:val="24"/>
          <w:highlight w:val="none"/>
          <w:lang w:val="en-US" w:eastAsia="zh-CN"/>
        </w:rPr>
      </w:pPr>
      <w:r>
        <w:rPr>
          <w:rFonts w:hint="eastAsia" w:ascii="宋体" w:hAnsi="宋体" w:cs="宋体"/>
          <w:b w:val="0"/>
          <w:bCs w:val="0"/>
          <w:color w:val="auto"/>
          <w:sz w:val="24"/>
          <w:highlight w:val="none"/>
          <w:lang w:val="en-US" w:eastAsia="zh-CN"/>
        </w:rPr>
        <w:t>b.投标报价应充分考虑交货期的市场材料价格风险，交货期内合同价格不作调整。</w:t>
      </w:r>
    </w:p>
    <w:p w14:paraId="5933999F">
      <w:pPr>
        <w:spacing w:line="400" w:lineRule="exact"/>
        <w:rPr>
          <w:rFonts w:hint="eastAsia" w:ascii="宋体" w:hAnsi="宋体" w:cs="宋体"/>
          <w:b/>
          <w:bCs/>
          <w:color w:val="auto"/>
          <w:sz w:val="24"/>
          <w:highlight w:val="none"/>
          <w:lang w:val="en-US" w:eastAsia="zh-CN"/>
        </w:rPr>
      </w:pPr>
      <w:r>
        <w:rPr>
          <w:rFonts w:hint="eastAsia" w:ascii="宋体" w:hAnsi="宋体" w:cs="宋体"/>
          <w:b/>
          <w:bCs/>
          <w:color w:val="auto"/>
          <w:sz w:val="24"/>
          <w:highlight w:val="none"/>
          <w:lang w:val="en-US" w:eastAsia="zh-CN"/>
        </w:rPr>
        <w:t>11、违约责任</w:t>
      </w:r>
    </w:p>
    <w:p w14:paraId="4C56D205">
      <w:pPr>
        <w:spacing w:line="400" w:lineRule="exact"/>
        <w:rPr>
          <w:rFonts w:hint="eastAsia" w:ascii="宋体" w:hAnsi="宋体" w:cs="宋体"/>
          <w:b w:val="0"/>
          <w:bCs w:val="0"/>
          <w:color w:val="auto"/>
          <w:sz w:val="24"/>
          <w:highlight w:val="none"/>
          <w:lang w:val="en-US" w:eastAsia="zh-CN"/>
        </w:rPr>
      </w:pPr>
      <w:r>
        <w:rPr>
          <w:rFonts w:hint="eastAsia" w:ascii="宋体" w:hAnsi="宋体" w:cs="宋体"/>
          <w:b w:val="0"/>
          <w:bCs w:val="0"/>
          <w:color w:val="auto"/>
          <w:sz w:val="24"/>
          <w:highlight w:val="none"/>
          <w:lang w:val="en-US" w:eastAsia="zh-CN"/>
        </w:rPr>
        <w:t>1.因成交人原因造成采购合同无法按时签订的，视为成交人违约，对采购人造成的损失的，成交人还需另行支付相应的赔偿。</w:t>
      </w:r>
    </w:p>
    <w:p w14:paraId="31C00011">
      <w:pPr>
        <w:spacing w:line="400" w:lineRule="exact"/>
        <w:rPr>
          <w:rFonts w:hint="eastAsia" w:ascii="宋体" w:hAnsi="宋体" w:cs="宋体"/>
          <w:b w:val="0"/>
          <w:bCs w:val="0"/>
          <w:color w:val="auto"/>
          <w:sz w:val="24"/>
          <w:highlight w:val="none"/>
          <w:lang w:val="en-US" w:eastAsia="zh-CN"/>
        </w:rPr>
      </w:pPr>
      <w:r>
        <w:rPr>
          <w:rFonts w:hint="eastAsia" w:ascii="宋体" w:hAnsi="宋体" w:cs="宋体"/>
          <w:b w:val="0"/>
          <w:bCs w:val="0"/>
          <w:color w:val="auto"/>
          <w:sz w:val="24"/>
          <w:highlight w:val="none"/>
          <w:lang w:val="en-US" w:eastAsia="zh-CN"/>
        </w:rPr>
        <w:t>2.在签定采购合同之后，有下列情形之一的，将视为成交人违约，采购人有权从履约保证金中取得补偿或取消其履约保证金（如有提交履约保证金的），并可进一步提出追索和索赔：</w:t>
      </w:r>
    </w:p>
    <w:p w14:paraId="409F51BD">
      <w:pPr>
        <w:spacing w:line="400" w:lineRule="exact"/>
        <w:rPr>
          <w:rFonts w:hint="eastAsia" w:ascii="宋体" w:hAnsi="宋体" w:cs="宋体"/>
          <w:b w:val="0"/>
          <w:bCs w:val="0"/>
          <w:color w:val="auto"/>
          <w:sz w:val="24"/>
          <w:highlight w:val="none"/>
          <w:lang w:val="en-US" w:eastAsia="zh-CN"/>
        </w:rPr>
      </w:pPr>
      <w:r>
        <w:rPr>
          <w:rFonts w:hint="eastAsia" w:ascii="宋体" w:hAnsi="宋体" w:cs="宋体"/>
          <w:b w:val="0"/>
          <w:bCs w:val="0"/>
          <w:color w:val="auto"/>
          <w:sz w:val="24"/>
          <w:highlight w:val="none"/>
          <w:lang w:val="en-US" w:eastAsia="zh-CN"/>
        </w:rPr>
        <w:t>2.1签定合同后，成交人未按合同规定提供服务的；</w:t>
      </w:r>
    </w:p>
    <w:p w14:paraId="577F8507">
      <w:pPr>
        <w:spacing w:line="400" w:lineRule="exact"/>
        <w:rPr>
          <w:rFonts w:hint="eastAsia" w:ascii="宋体" w:hAnsi="宋体" w:cs="宋体"/>
          <w:b w:val="0"/>
          <w:bCs w:val="0"/>
          <w:color w:val="auto"/>
          <w:sz w:val="24"/>
          <w:highlight w:val="none"/>
          <w:lang w:val="en-US" w:eastAsia="zh-CN"/>
        </w:rPr>
      </w:pPr>
      <w:r>
        <w:rPr>
          <w:rFonts w:hint="eastAsia" w:ascii="宋体" w:hAnsi="宋体" w:cs="宋体"/>
          <w:b w:val="0"/>
          <w:bCs w:val="0"/>
          <w:color w:val="auto"/>
          <w:sz w:val="24"/>
          <w:highlight w:val="none"/>
          <w:lang w:val="en-US" w:eastAsia="zh-CN"/>
        </w:rPr>
        <w:t>2.2成交人逾期履行合同的，每逾期一天，按合同价格的万分之五偿付违约金；</w:t>
      </w:r>
    </w:p>
    <w:p w14:paraId="3F954BC6">
      <w:pPr>
        <w:spacing w:line="400" w:lineRule="exact"/>
        <w:rPr>
          <w:rFonts w:hint="eastAsia" w:ascii="宋体" w:hAnsi="宋体" w:cs="宋体"/>
          <w:b w:val="0"/>
          <w:bCs w:val="0"/>
          <w:color w:val="auto"/>
          <w:sz w:val="24"/>
          <w:highlight w:val="none"/>
          <w:lang w:val="en-US" w:eastAsia="zh-CN"/>
        </w:rPr>
      </w:pPr>
      <w:r>
        <w:rPr>
          <w:rFonts w:hint="eastAsia" w:ascii="宋体" w:hAnsi="宋体" w:cs="宋体"/>
          <w:b w:val="0"/>
          <w:bCs w:val="0"/>
          <w:color w:val="auto"/>
          <w:sz w:val="24"/>
          <w:highlight w:val="none"/>
          <w:lang w:val="en-US" w:eastAsia="zh-CN"/>
        </w:rPr>
        <w:t>2.3成交人不能完成合同任务的（不可抗力因素造成的除外）；</w:t>
      </w:r>
    </w:p>
    <w:p w14:paraId="6650AAF9">
      <w:pPr>
        <w:spacing w:line="400" w:lineRule="exact"/>
        <w:rPr>
          <w:rFonts w:hint="eastAsia" w:ascii="宋体" w:hAnsi="宋体" w:cs="宋体"/>
          <w:b w:val="0"/>
          <w:bCs w:val="0"/>
          <w:color w:val="auto"/>
          <w:sz w:val="24"/>
          <w:highlight w:val="none"/>
          <w:lang w:val="en-US" w:eastAsia="zh-CN"/>
        </w:rPr>
      </w:pPr>
      <w:r>
        <w:rPr>
          <w:rFonts w:hint="eastAsia" w:ascii="宋体" w:hAnsi="宋体" w:cs="宋体"/>
          <w:b w:val="0"/>
          <w:bCs w:val="0"/>
          <w:color w:val="auto"/>
          <w:sz w:val="24"/>
          <w:highlight w:val="none"/>
          <w:lang w:val="en-US" w:eastAsia="zh-CN"/>
        </w:rPr>
        <w:t>2.4成交人未能按合同规定履行其义务的；</w:t>
      </w:r>
    </w:p>
    <w:p w14:paraId="0E298288">
      <w:pPr>
        <w:spacing w:line="400" w:lineRule="exact"/>
        <w:rPr>
          <w:rFonts w:hint="eastAsia" w:ascii="宋体" w:hAnsi="宋体" w:cs="宋体"/>
          <w:b w:val="0"/>
          <w:bCs w:val="0"/>
          <w:color w:val="auto"/>
          <w:sz w:val="24"/>
          <w:highlight w:val="none"/>
          <w:lang w:val="en-US" w:eastAsia="zh-CN"/>
        </w:rPr>
      </w:pPr>
      <w:r>
        <w:rPr>
          <w:rFonts w:hint="eastAsia" w:ascii="宋体" w:hAnsi="宋体" w:cs="宋体"/>
          <w:b w:val="0"/>
          <w:bCs w:val="0"/>
          <w:color w:val="auto"/>
          <w:sz w:val="24"/>
          <w:highlight w:val="none"/>
          <w:lang w:val="en-US" w:eastAsia="zh-CN"/>
        </w:rPr>
        <w:t>2.5在签定采购合同之后，成交人无理由要求解除合同的；</w:t>
      </w:r>
    </w:p>
    <w:p w14:paraId="439429D1">
      <w:pPr>
        <w:spacing w:line="400" w:lineRule="exact"/>
        <w:rPr>
          <w:rFonts w:hint="eastAsia" w:ascii="宋体" w:hAnsi="宋体" w:cs="宋体"/>
          <w:b w:val="0"/>
          <w:bCs w:val="0"/>
          <w:color w:val="auto"/>
          <w:sz w:val="24"/>
          <w:highlight w:val="none"/>
          <w:lang w:val="en-US" w:eastAsia="zh-CN"/>
        </w:rPr>
      </w:pPr>
      <w:r>
        <w:rPr>
          <w:rFonts w:hint="eastAsia" w:ascii="宋体" w:hAnsi="宋体" w:cs="宋体"/>
          <w:b w:val="0"/>
          <w:bCs w:val="0"/>
          <w:color w:val="auto"/>
          <w:sz w:val="24"/>
          <w:highlight w:val="none"/>
          <w:lang w:val="en-US" w:eastAsia="zh-CN"/>
        </w:rPr>
        <w:t>3.成交人履行义务不符合合同约定时，采购人有权扣减尾款。</w:t>
      </w:r>
    </w:p>
    <w:p w14:paraId="5424E270">
      <w:pPr>
        <w:spacing w:line="400" w:lineRule="exact"/>
        <w:rPr>
          <w:rFonts w:hint="eastAsia" w:ascii="宋体" w:hAnsi="宋体" w:cs="宋体"/>
          <w:b w:val="0"/>
          <w:bCs w:val="0"/>
          <w:color w:val="auto"/>
          <w:sz w:val="24"/>
          <w:highlight w:val="none"/>
          <w:lang w:val="en-US" w:eastAsia="zh-CN"/>
        </w:rPr>
      </w:pPr>
      <w:r>
        <w:rPr>
          <w:rFonts w:hint="eastAsia" w:ascii="宋体" w:hAnsi="宋体" w:cs="宋体"/>
          <w:b w:val="0"/>
          <w:bCs w:val="0"/>
          <w:color w:val="auto"/>
          <w:sz w:val="24"/>
          <w:highlight w:val="none"/>
          <w:lang w:val="en-US" w:eastAsia="zh-CN"/>
        </w:rPr>
        <w:t>4.因成交人原因发生重大质量事故，除依约承担赔偿责任外，还将按有关质量管理办法规定执行。同时，采购人有权保留更换成交人的权利，并报相关行政主管部门处罚。</w:t>
      </w:r>
    </w:p>
    <w:p w14:paraId="4CAD8047">
      <w:pPr>
        <w:spacing w:line="400" w:lineRule="exact"/>
        <w:rPr>
          <w:rFonts w:hint="eastAsia" w:ascii="宋体" w:hAnsi="宋体" w:cs="宋体"/>
          <w:b w:val="0"/>
          <w:bCs w:val="0"/>
          <w:color w:val="auto"/>
          <w:sz w:val="24"/>
          <w:highlight w:val="none"/>
          <w:lang w:val="en-US" w:eastAsia="zh-CN"/>
        </w:rPr>
      </w:pPr>
      <w:r>
        <w:rPr>
          <w:rFonts w:hint="eastAsia" w:ascii="宋体" w:hAnsi="宋体" w:cs="宋体"/>
          <w:b w:val="0"/>
          <w:bCs w:val="0"/>
          <w:color w:val="auto"/>
          <w:sz w:val="24"/>
          <w:highlight w:val="none"/>
          <w:lang w:val="en-US" w:eastAsia="zh-CN"/>
        </w:rPr>
        <w:t>5.若发生死亡安全事故，除按国家有关安全管理规定及采购人有关安全管理办法执行外，并报相关行政主管部门处罚；发生重大安全事故或特大安全事故，除按国家有关安全管理规定及采购人有关安全管理办法执行外，采购人有权单方终止合同，给采购人造成的损失，还应承担赔偿责任。</w:t>
      </w:r>
    </w:p>
    <w:p w14:paraId="1E9BCCEC">
      <w:pPr>
        <w:spacing w:line="400" w:lineRule="exact"/>
        <w:rPr>
          <w:rFonts w:hint="eastAsia" w:ascii="宋体" w:hAnsi="宋体" w:cs="宋体"/>
          <w:b w:val="0"/>
          <w:bCs w:val="0"/>
          <w:color w:val="auto"/>
          <w:sz w:val="24"/>
          <w:highlight w:val="none"/>
          <w:lang w:val="en-US" w:eastAsia="zh-CN"/>
        </w:rPr>
      </w:pPr>
      <w:r>
        <w:rPr>
          <w:rFonts w:hint="eastAsia" w:ascii="宋体" w:hAnsi="宋体" w:cs="宋体"/>
          <w:b w:val="0"/>
          <w:bCs w:val="0"/>
          <w:color w:val="auto"/>
          <w:sz w:val="24"/>
          <w:highlight w:val="none"/>
          <w:lang w:val="en-US" w:eastAsia="zh-CN"/>
        </w:rPr>
        <w:t>6.在明确违约责任后，成交人应在接到书面通知书起七天内支付违约金、赔偿金等。</w:t>
      </w:r>
    </w:p>
    <w:p w14:paraId="0EB4382F">
      <w:pPr>
        <w:spacing w:line="400" w:lineRule="exact"/>
        <w:rPr>
          <w:rFonts w:hint="eastAsia" w:ascii="宋体" w:hAnsi="宋体" w:cs="宋体"/>
          <w:b w:val="0"/>
          <w:bCs w:val="0"/>
          <w:color w:val="auto"/>
          <w:sz w:val="24"/>
          <w:highlight w:val="none"/>
          <w:lang w:val="en-US" w:eastAsia="zh-CN"/>
        </w:rPr>
      </w:pPr>
      <w:r>
        <w:rPr>
          <w:rFonts w:hint="eastAsia" w:ascii="宋体" w:hAnsi="宋体" w:cs="宋体"/>
          <w:b w:val="0"/>
          <w:bCs w:val="0"/>
          <w:color w:val="auto"/>
          <w:sz w:val="24"/>
          <w:highlight w:val="none"/>
          <w:lang w:val="en-US" w:eastAsia="zh-CN"/>
        </w:rPr>
        <w:t>7.本谈判文件未明确的其它约定事项或条款，待采购人与成交人签订合同时，由采购人、成交人双方协商订立。</w:t>
      </w:r>
    </w:p>
    <w:p w14:paraId="6775ADF4">
      <w:pPr>
        <w:spacing w:line="400" w:lineRule="exact"/>
        <w:rPr>
          <w:rFonts w:hint="eastAsia" w:ascii="宋体" w:hAnsi="宋体" w:cs="宋体"/>
          <w:b/>
          <w:bCs/>
          <w:color w:val="auto"/>
          <w:sz w:val="24"/>
          <w:highlight w:val="none"/>
          <w:lang w:val="en-US" w:eastAsia="zh-CN"/>
        </w:rPr>
      </w:pPr>
      <w:r>
        <w:rPr>
          <w:rFonts w:hint="eastAsia" w:ascii="宋体" w:hAnsi="宋体" w:cs="宋体"/>
          <w:b/>
          <w:bCs/>
          <w:color w:val="auto"/>
          <w:sz w:val="24"/>
          <w:highlight w:val="none"/>
          <w:lang w:val="en-US" w:eastAsia="zh-CN"/>
        </w:rPr>
        <w:t>12、知识产权</w:t>
      </w:r>
    </w:p>
    <w:p w14:paraId="25802E81">
      <w:pPr>
        <w:spacing w:line="400" w:lineRule="exact"/>
        <w:ind w:firstLine="240" w:firstLineChars="100"/>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成交供应商须保障采购人在使用该货物或其任何一部分时不受到第三方关于侵犯专利权、商标权或工业设计权等知识产权的指控。如果任何第三方提出侵权指控与采购人无关，成交供应商须与第三方交涉并承担可能发生的责任与一切费用。如采购人因此而遭致损失的，成交供应商应赔偿该损失。</w:t>
      </w:r>
    </w:p>
    <w:p w14:paraId="77845372">
      <w:pPr>
        <w:spacing w:line="400" w:lineRule="exact"/>
        <w:rPr>
          <w:rFonts w:hint="eastAsia" w:ascii="宋体" w:hAnsi="宋体" w:cs="宋体"/>
          <w:b/>
          <w:bCs/>
          <w:color w:val="auto"/>
          <w:sz w:val="24"/>
          <w:highlight w:val="none"/>
          <w:lang w:val="en-US" w:eastAsia="zh-CN"/>
        </w:rPr>
      </w:pPr>
      <w:r>
        <w:rPr>
          <w:rFonts w:hint="eastAsia" w:ascii="宋体" w:hAnsi="宋体" w:cs="宋体"/>
          <w:b/>
          <w:bCs/>
          <w:color w:val="auto"/>
          <w:sz w:val="24"/>
          <w:highlight w:val="none"/>
          <w:lang w:val="en-US" w:eastAsia="zh-CN"/>
        </w:rPr>
        <w:t>13、仲裁、诉讼条款</w:t>
      </w:r>
    </w:p>
    <w:p w14:paraId="5939EC47">
      <w:pPr>
        <w:spacing w:line="400" w:lineRule="exact"/>
        <w:ind w:firstLine="240" w:firstLineChars="100"/>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因采购或与采购合同有关的一切事项发生争议，由采购人和成交供应商双方友好协商解决。协商不成的，任何一方均可向有管辖权的人民法院提起诉讼。</w:t>
      </w:r>
    </w:p>
    <w:p w14:paraId="7695130F">
      <w:pPr>
        <w:spacing w:line="400" w:lineRule="exact"/>
        <w:ind w:firstLine="241" w:firstLineChars="100"/>
        <w:rPr>
          <w:rFonts w:hint="eastAsia" w:ascii="宋体" w:hAnsi="宋体" w:cs="宋体"/>
          <w:b/>
          <w:bCs/>
          <w:color w:val="auto"/>
          <w:sz w:val="24"/>
          <w:highlight w:val="none"/>
          <w:lang w:val="en-US" w:eastAsia="zh-CN"/>
        </w:rPr>
      </w:pPr>
    </w:p>
    <w:p w14:paraId="347412DF">
      <w:pPr>
        <w:spacing w:line="400" w:lineRule="exact"/>
        <w:ind w:firstLine="241" w:firstLineChars="100"/>
        <w:rPr>
          <w:rFonts w:hint="eastAsia" w:ascii="宋体" w:hAnsi="宋体" w:cs="宋体"/>
          <w:b/>
          <w:bCs/>
          <w:color w:val="auto"/>
          <w:sz w:val="24"/>
          <w:highlight w:val="none"/>
          <w:lang w:val="en-US" w:eastAsia="zh-CN"/>
        </w:rPr>
      </w:pPr>
      <w:r>
        <w:rPr>
          <w:rFonts w:hint="eastAsia" w:ascii="宋体" w:hAnsi="宋体" w:cs="宋体"/>
          <w:b/>
          <w:bCs/>
          <w:color w:val="auto"/>
          <w:sz w:val="24"/>
          <w:highlight w:val="none"/>
          <w:lang w:val="en-US" w:eastAsia="zh-CN"/>
        </w:rPr>
        <w:t>注：以上商务要求为基本要求，不允许负偏离，否则视为无效投标。</w:t>
      </w:r>
    </w:p>
    <w:p w14:paraId="6F4A651C">
      <w:pPr>
        <w:spacing w:line="400" w:lineRule="exact"/>
        <w:ind w:firstLine="241" w:firstLineChars="100"/>
        <w:rPr>
          <w:rFonts w:hint="eastAsia" w:ascii="宋体" w:hAnsi="宋体" w:cs="宋体"/>
          <w:b/>
          <w:bCs/>
          <w:color w:val="auto"/>
          <w:sz w:val="24"/>
          <w:highlight w:val="none"/>
          <w:lang w:val="en-US" w:eastAsia="zh-CN"/>
        </w:rPr>
      </w:pPr>
      <w:r>
        <w:rPr>
          <w:rFonts w:hint="eastAsia" w:ascii="宋体" w:hAnsi="宋体" w:cs="宋体"/>
          <w:b/>
          <w:bCs/>
          <w:color w:val="auto"/>
          <w:sz w:val="24"/>
          <w:highlight w:val="none"/>
          <w:lang w:val="en-US" w:eastAsia="zh-CN"/>
        </w:rPr>
        <w:t>四、其他事项</w:t>
      </w:r>
    </w:p>
    <w:p w14:paraId="36E3E8C0">
      <w:pPr>
        <w:spacing w:line="400" w:lineRule="exact"/>
        <w:ind w:firstLine="240" w:firstLineChars="100"/>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 xml:space="preserve">1、除谈判文件另有规定外，若出现有关法律、法规和规章有强制性规定但招标文件未列明的情形，则供应商应按照有关法律、法规和规章强制性规定执行。 </w:t>
      </w:r>
    </w:p>
    <w:p w14:paraId="1EE9BCE9">
      <w:pPr>
        <w:widowControl/>
        <w:spacing w:before="75" w:after="75"/>
        <w:jc w:val="center"/>
        <w:rPr>
          <w:rFonts w:ascii="宋体" w:hAnsi="宋体" w:cs="宋体"/>
          <w:color w:val="auto"/>
          <w:kern w:val="0"/>
          <w:sz w:val="24"/>
        </w:rPr>
      </w:pPr>
      <w:r>
        <w:rPr>
          <w:rFonts w:ascii="宋体" w:hAnsi="宋体" w:cs="宋体"/>
          <w:b/>
          <w:color w:val="auto"/>
          <w:sz w:val="24"/>
        </w:rPr>
        <w:br w:type="page"/>
      </w:r>
    </w:p>
    <w:p w14:paraId="5B94E36F">
      <w:pPr>
        <w:pStyle w:val="28"/>
        <w:jc w:val="center"/>
        <w:outlineLvl w:val="1"/>
        <w:rPr>
          <w:color w:val="auto"/>
        </w:rPr>
      </w:pPr>
      <w:r>
        <w:rPr>
          <w:rFonts w:ascii="宋体" w:hAnsi="宋体" w:cs="宋体"/>
          <w:b/>
          <w:bCs/>
          <w:color w:val="auto"/>
          <w:kern w:val="0"/>
          <w:sz w:val="32"/>
          <w:szCs w:val="32"/>
        </w:rPr>
        <w:t>第四章 </w:t>
      </w:r>
      <w:r>
        <w:rPr>
          <w:rFonts w:ascii="仿宋_GB2312" w:hAnsi="仿宋_GB2312" w:eastAsia="仿宋_GB2312" w:cs="仿宋_GB2312"/>
          <w:b/>
          <w:color w:val="auto"/>
          <w:sz w:val="36"/>
        </w:rPr>
        <w:t>合同主要条款及格式</w:t>
      </w:r>
    </w:p>
    <w:p w14:paraId="557B440F">
      <w:pPr>
        <w:pStyle w:val="28"/>
        <w:jc w:val="center"/>
        <w:rPr>
          <w:rFonts w:hint="eastAsia" w:ascii="宋体" w:hAnsi="宋体" w:eastAsia="宋体" w:cs="宋体"/>
          <w:sz w:val="24"/>
          <w:szCs w:val="24"/>
        </w:rPr>
      </w:pPr>
      <w:r>
        <w:rPr>
          <w:rFonts w:hint="eastAsia" w:ascii="宋体" w:hAnsi="宋体" w:eastAsia="宋体" w:cs="宋体"/>
          <w:sz w:val="24"/>
          <w:szCs w:val="24"/>
        </w:rPr>
        <w:t>编制说明</w:t>
      </w:r>
    </w:p>
    <w:p w14:paraId="2A65C499">
      <w:pPr>
        <w:pStyle w:val="28"/>
        <w:jc w:val="left"/>
        <w:rPr>
          <w:rFonts w:hint="eastAsia" w:ascii="宋体" w:hAnsi="宋体" w:eastAsia="宋体" w:cs="宋体"/>
          <w:sz w:val="24"/>
          <w:szCs w:val="24"/>
        </w:rPr>
      </w:pPr>
      <w:r>
        <w:rPr>
          <w:rFonts w:hint="eastAsia" w:ascii="宋体" w:hAnsi="宋体" w:eastAsia="宋体" w:cs="宋体"/>
          <w:sz w:val="24"/>
          <w:szCs w:val="24"/>
        </w:rPr>
        <w:t>1、签订合同应遵守《中华人民共和国政府采购法》、《中华人民共和国民法典》。</w:t>
      </w:r>
    </w:p>
    <w:p w14:paraId="2C99AD36">
      <w:pPr>
        <w:pStyle w:val="28"/>
        <w:jc w:val="left"/>
        <w:rPr>
          <w:rFonts w:hint="eastAsia" w:ascii="宋体" w:hAnsi="宋体" w:eastAsia="宋体" w:cs="宋体"/>
          <w:sz w:val="24"/>
          <w:szCs w:val="24"/>
        </w:rPr>
      </w:pPr>
      <w:r>
        <w:rPr>
          <w:rFonts w:hint="eastAsia" w:ascii="宋体" w:hAnsi="宋体" w:eastAsia="宋体" w:cs="宋体"/>
          <w:sz w:val="24"/>
          <w:szCs w:val="24"/>
        </w:rPr>
        <w:t>2、签订合同时，采购人与成交供应商应结合谈判文件第三章规定填列相应内容。如果双方使用谈判文件第四章已有规定的条款及格式，双方均不得对规定进行变更或调整；谈判文件第四章未作规定的条款及格式，双方可通过友好协商进行约定。</w:t>
      </w:r>
    </w:p>
    <w:p w14:paraId="4E743C2D">
      <w:pPr>
        <w:pStyle w:val="28"/>
        <w:jc w:val="left"/>
        <w:rPr>
          <w:rFonts w:hint="eastAsia" w:ascii="宋体" w:hAnsi="宋体" w:eastAsia="宋体" w:cs="宋体"/>
          <w:sz w:val="24"/>
          <w:szCs w:val="24"/>
        </w:rPr>
      </w:pPr>
      <w:r>
        <w:rPr>
          <w:rFonts w:hint="eastAsia" w:ascii="宋体" w:hAnsi="宋体" w:eastAsia="宋体" w:cs="宋体"/>
          <w:sz w:val="24"/>
          <w:szCs w:val="24"/>
        </w:rPr>
        <w:t>3.本章节所附的合同主要条款及格式为参考文本，如果因为项目实际特点不能适用，则可由甲乙双方在合同签订阶段可通过友好协商进行约定。</w:t>
      </w:r>
    </w:p>
    <w:p w14:paraId="2CE14C03">
      <w:pPr>
        <w:widowControl/>
        <w:spacing w:before="75" w:after="75" w:line="435" w:lineRule="atLeast"/>
        <w:jc w:val="left"/>
        <w:rPr>
          <w:rFonts w:ascii="宋体" w:hAnsi="宋体" w:cs="宋体"/>
          <w:kern w:val="0"/>
          <w:sz w:val="24"/>
        </w:rPr>
      </w:pPr>
      <w:r>
        <w:rPr>
          <w:rFonts w:ascii="宋体" w:hAnsi="宋体" w:cs="宋体"/>
          <w:kern w:val="0"/>
          <w:sz w:val="24"/>
        </w:rPr>
        <w:t>甲方：（采购人全称）</w:t>
      </w:r>
    </w:p>
    <w:p w14:paraId="395DF0BF">
      <w:pPr>
        <w:widowControl/>
        <w:spacing w:before="75" w:after="75" w:line="435" w:lineRule="atLeast"/>
        <w:jc w:val="left"/>
        <w:rPr>
          <w:rFonts w:ascii="宋体" w:hAnsi="宋体" w:cs="宋体"/>
          <w:kern w:val="0"/>
          <w:sz w:val="24"/>
        </w:rPr>
      </w:pPr>
      <w:r>
        <w:rPr>
          <w:rFonts w:ascii="宋体" w:hAnsi="宋体" w:cs="宋体"/>
          <w:kern w:val="0"/>
          <w:sz w:val="24"/>
        </w:rPr>
        <w:t>乙方：（成交供应商全称）</w:t>
      </w:r>
    </w:p>
    <w:p w14:paraId="551122AF">
      <w:pPr>
        <w:widowControl/>
        <w:spacing w:before="75" w:after="75" w:line="435" w:lineRule="atLeast"/>
        <w:jc w:val="left"/>
        <w:rPr>
          <w:rFonts w:ascii="宋体" w:hAnsi="宋体" w:cs="宋体"/>
          <w:kern w:val="0"/>
          <w:sz w:val="24"/>
        </w:rPr>
      </w:pPr>
      <w:r>
        <w:rPr>
          <w:rFonts w:ascii="宋体" w:hAnsi="宋体" w:cs="宋体"/>
          <w:kern w:val="0"/>
          <w:sz w:val="24"/>
        </w:rPr>
        <w:t> </w:t>
      </w:r>
    </w:p>
    <w:p w14:paraId="657FE6C7">
      <w:pPr>
        <w:widowControl/>
        <w:spacing w:before="75" w:after="75" w:line="435" w:lineRule="atLeast"/>
        <w:ind w:firstLine="480"/>
        <w:jc w:val="left"/>
        <w:rPr>
          <w:rFonts w:ascii="宋体" w:hAnsi="宋体" w:cs="宋体"/>
          <w:kern w:val="0"/>
          <w:sz w:val="24"/>
        </w:rPr>
      </w:pPr>
      <w:r>
        <w:rPr>
          <w:rFonts w:ascii="宋体" w:hAnsi="宋体" w:cs="宋体"/>
          <w:kern w:val="0"/>
          <w:sz w:val="24"/>
        </w:rPr>
        <w:t>根据项目编号为       的（填写“项目名称”）项目（以下简称：“本项目”）的谈判结果，乙方为成交供应商。现经甲乙双方友好协商，就以下事项达成一致并签订本合同：</w:t>
      </w:r>
    </w:p>
    <w:p w14:paraId="556F983E">
      <w:pPr>
        <w:widowControl/>
        <w:spacing w:before="75" w:after="75" w:line="435" w:lineRule="atLeast"/>
        <w:ind w:firstLine="480"/>
        <w:jc w:val="left"/>
        <w:rPr>
          <w:rFonts w:ascii="宋体" w:hAnsi="宋体" w:cs="宋体"/>
          <w:kern w:val="0"/>
          <w:sz w:val="24"/>
        </w:rPr>
      </w:pPr>
      <w:r>
        <w:rPr>
          <w:rFonts w:ascii="宋体" w:hAnsi="宋体" w:cs="宋体"/>
          <w:kern w:val="0"/>
          <w:sz w:val="24"/>
        </w:rPr>
        <w:t>1、下列合同文件是构成本合同不可分割的部分：</w:t>
      </w:r>
    </w:p>
    <w:p w14:paraId="31CFE02F">
      <w:pPr>
        <w:widowControl/>
        <w:spacing w:before="75" w:after="75" w:line="435" w:lineRule="atLeast"/>
        <w:ind w:firstLine="480"/>
        <w:jc w:val="left"/>
        <w:rPr>
          <w:rFonts w:ascii="宋体" w:hAnsi="宋体" w:cs="宋体"/>
          <w:kern w:val="0"/>
          <w:sz w:val="24"/>
        </w:rPr>
      </w:pPr>
      <w:r>
        <w:rPr>
          <w:rFonts w:ascii="宋体" w:hAnsi="宋体" w:cs="宋体"/>
          <w:kern w:val="0"/>
          <w:sz w:val="24"/>
        </w:rPr>
        <w:t>1.1合同条款；</w:t>
      </w:r>
    </w:p>
    <w:p w14:paraId="6D6DFF01">
      <w:pPr>
        <w:widowControl/>
        <w:spacing w:before="75" w:after="75" w:line="435" w:lineRule="atLeast"/>
        <w:ind w:firstLine="480"/>
        <w:jc w:val="left"/>
        <w:rPr>
          <w:rFonts w:ascii="宋体" w:hAnsi="宋体" w:cs="宋体"/>
          <w:kern w:val="0"/>
          <w:sz w:val="24"/>
        </w:rPr>
      </w:pPr>
      <w:r>
        <w:rPr>
          <w:rFonts w:ascii="宋体" w:hAnsi="宋体" w:cs="宋体"/>
          <w:kern w:val="0"/>
          <w:sz w:val="24"/>
        </w:rPr>
        <w:t>1.2谈判文件、乙方的响应文件；</w:t>
      </w:r>
    </w:p>
    <w:p w14:paraId="56745A21">
      <w:pPr>
        <w:widowControl/>
        <w:spacing w:before="75" w:after="75" w:line="435" w:lineRule="atLeast"/>
        <w:ind w:firstLine="480"/>
        <w:jc w:val="left"/>
        <w:rPr>
          <w:rFonts w:ascii="宋体" w:hAnsi="宋体" w:cs="宋体"/>
          <w:kern w:val="0"/>
          <w:sz w:val="24"/>
        </w:rPr>
      </w:pPr>
      <w:r>
        <w:rPr>
          <w:rFonts w:ascii="宋体" w:hAnsi="宋体" w:cs="宋体"/>
          <w:kern w:val="0"/>
          <w:sz w:val="24"/>
        </w:rPr>
        <w:t>1.3其他文件或材料：□无。□（根据实际情况填写需要增加的内容）。</w:t>
      </w:r>
    </w:p>
    <w:p w14:paraId="093D000D">
      <w:pPr>
        <w:widowControl/>
        <w:spacing w:before="75" w:after="75" w:line="435" w:lineRule="atLeast"/>
        <w:ind w:firstLine="480"/>
        <w:jc w:val="left"/>
        <w:rPr>
          <w:rFonts w:ascii="宋体" w:hAnsi="宋体" w:cs="宋体"/>
          <w:kern w:val="0"/>
          <w:sz w:val="24"/>
        </w:rPr>
      </w:pPr>
      <w:r>
        <w:rPr>
          <w:rFonts w:ascii="宋体" w:hAnsi="宋体" w:cs="宋体"/>
          <w:kern w:val="0"/>
          <w:sz w:val="24"/>
        </w:rPr>
        <w:t>2、合同标的</w:t>
      </w:r>
    </w:p>
    <w:p w14:paraId="402B7EBD">
      <w:pPr>
        <w:widowControl/>
        <w:spacing w:before="75" w:after="75" w:line="435" w:lineRule="atLeast"/>
        <w:ind w:firstLine="480"/>
        <w:jc w:val="left"/>
        <w:rPr>
          <w:rFonts w:ascii="宋体" w:hAnsi="宋体" w:cs="宋体"/>
          <w:kern w:val="0"/>
          <w:sz w:val="24"/>
        </w:rPr>
      </w:pPr>
      <w:r>
        <w:rPr>
          <w:rFonts w:ascii="宋体" w:hAnsi="宋体" w:cs="宋体"/>
          <w:kern w:val="0"/>
          <w:sz w:val="24"/>
        </w:rPr>
        <w:t>（根据实际情况填写，可以是表格或文字描述）。</w:t>
      </w:r>
    </w:p>
    <w:p w14:paraId="2EF210FC">
      <w:pPr>
        <w:widowControl/>
        <w:spacing w:before="75" w:after="75" w:line="435" w:lineRule="atLeast"/>
        <w:ind w:firstLine="480"/>
        <w:jc w:val="left"/>
        <w:rPr>
          <w:rFonts w:ascii="宋体" w:hAnsi="宋体" w:cs="宋体"/>
          <w:kern w:val="0"/>
          <w:sz w:val="24"/>
        </w:rPr>
      </w:pPr>
      <w:r>
        <w:rPr>
          <w:rFonts w:ascii="宋体" w:hAnsi="宋体" w:cs="宋体"/>
          <w:kern w:val="0"/>
          <w:sz w:val="24"/>
        </w:rPr>
        <w:t>3、合同总金额</w:t>
      </w:r>
    </w:p>
    <w:p w14:paraId="653311EF">
      <w:pPr>
        <w:widowControl/>
        <w:spacing w:before="75" w:after="75" w:line="435" w:lineRule="atLeast"/>
        <w:ind w:firstLine="480"/>
        <w:jc w:val="left"/>
        <w:rPr>
          <w:rFonts w:ascii="宋体" w:hAnsi="宋体" w:cs="宋体"/>
          <w:kern w:val="0"/>
          <w:sz w:val="24"/>
        </w:rPr>
      </w:pPr>
      <w:r>
        <w:rPr>
          <w:rFonts w:ascii="宋体" w:hAnsi="宋体" w:cs="宋体"/>
          <w:kern w:val="0"/>
          <w:sz w:val="24"/>
        </w:rPr>
        <w:t>3.1合同总金额为人民币大写：              元（￥              ）。</w:t>
      </w:r>
    </w:p>
    <w:p w14:paraId="7B6C9EC1">
      <w:pPr>
        <w:widowControl/>
        <w:spacing w:before="75" w:after="75" w:line="435" w:lineRule="atLeast"/>
        <w:ind w:firstLine="480"/>
        <w:jc w:val="left"/>
        <w:rPr>
          <w:rFonts w:ascii="宋体" w:hAnsi="宋体" w:cs="宋体"/>
          <w:kern w:val="0"/>
          <w:sz w:val="24"/>
        </w:rPr>
      </w:pPr>
      <w:r>
        <w:rPr>
          <w:rFonts w:ascii="宋体" w:hAnsi="宋体" w:cs="宋体"/>
          <w:kern w:val="0"/>
          <w:sz w:val="24"/>
        </w:rPr>
        <w:t>4、合同标的交付时间、地点和条件</w:t>
      </w:r>
    </w:p>
    <w:p w14:paraId="72CFDC6F">
      <w:pPr>
        <w:widowControl/>
        <w:spacing w:before="75" w:after="75" w:line="435" w:lineRule="atLeast"/>
        <w:ind w:firstLine="480"/>
        <w:jc w:val="left"/>
        <w:rPr>
          <w:rFonts w:ascii="宋体" w:hAnsi="宋体" w:cs="宋体"/>
          <w:kern w:val="0"/>
          <w:sz w:val="24"/>
        </w:rPr>
      </w:pPr>
      <w:r>
        <w:rPr>
          <w:rFonts w:ascii="宋体" w:hAnsi="宋体" w:cs="宋体"/>
          <w:kern w:val="0"/>
          <w:sz w:val="24"/>
        </w:rPr>
        <w:t>4.1交付时间：                     ；</w:t>
      </w:r>
    </w:p>
    <w:p w14:paraId="7C074779">
      <w:pPr>
        <w:widowControl/>
        <w:spacing w:before="75" w:after="75" w:line="435" w:lineRule="atLeast"/>
        <w:ind w:firstLine="480"/>
        <w:jc w:val="left"/>
        <w:rPr>
          <w:rFonts w:ascii="宋体" w:hAnsi="宋体" w:cs="宋体"/>
          <w:kern w:val="0"/>
          <w:sz w:val="24"/>
        </w:rPr>
      </w:pPr>
      <w:r>
        <w:rPr>
          <w:rFonts w:ascii="宋体" w:hAnsi="宋体" w:cs="宋体"/>
          <w:kern w:val="0"/>
          <w:sz w:val="24"/>
        </w:rPr>
        <w:t>4.2交付地点：                     ；</w:t>
      </w:r>
    </w:p>
    <w:p w14:paraId="77C1AE9C">
      <w:pPr>
        <w:widowControl/>
        <w:spacing w:before="75" w:after="75" w:line="435" w:lineRule="atLeast"/>
        <w:ind w:firstLine="480"/>
        <w:jc w:val="left"/>
        <w:rPr>
          <w:rFonts w:ascii="宋体" w:hAnsi="宋体" w:cs="宋体"/>
          <w:kern w:val="0"/>
          <w:sz w:val="24"/>
        </w:rPr>
      </w:pPr>
      <w:r>
        <w:rPr>
          <w:rFonts w:ascii="宋体" w:hAnsi="宋体" w:cs="宋体"/>
          <w:kern w:val="0"/>
          <w:sz w:val="24"/>
        </w:rPr>
        <w:t>4.3交付条件：                     。</w:t>
      </w:r>
    </w:p>
    <w:p w14:paraId="55E5F87D">
      <w:pPr>
        <w:widowControl/>
        <w:spacing w:before="75" w:after="75" w:line="435" w:lineRule="atLeast"/>
        <w:ind w:firstLine="480"/>
        <w:jc w:val="left"/>
        <w:rPr>
          <w:rFonts w:ascii="宋体" w:hAnsi="宋体" w:cs="宋体"/>
          <w:kern w:val="0"/>
          <w:sz w:val="24"/>
        </w:rPr>
      </w:pPr>
      <w:r>
        <w:rPr>
          <w:rFonts w:ascii="宋体" w:hAnsi="宋体" w:cs="宋体"/>
          <w:kern w:val="0"/>
          <w:sz w:val="24"/>
        </w:rPr>
        <w:t>5、合同标的应符合谈判文件、乙方响应文件的规定或约定，具体如下：</w:t>
      </w:r>
    </w:p>
    <w:p w14:paraId="39867E94">
      <w:pPr>
        <w:widowControl/>
        <w:spacing w:before="75" w:after="75" w:line="435" w:lineRule="atLeast"/>
        <w:ind w:firstLine="480"/>
        <w:jc w:val="left"/>
        <w:rPr>
          <w:rFonts w:ascii="宋体" w:hAnsi="宋体" w:cs="宋体"/>
          <w:kern w:val="0"/>
          <w:sz w:val="24"/>
        </w:rPr>
      </w:pPr>
      <w:r>
        <w:rPr>
          <w:rFonts w:ascii="宋体" w:hAnsi="宋体" w:cs="宋体"/>
          <w:kern w:val="0"/>
          <w:sz w:val="24"/>
        </w:rPr>
        <w:t>（根据实际情况填写，可以是表格或文字描述）。</w:t>
      </w:r>
    </w:p>
    <w:p w14:paraId="004F2177">
      <w:pPr>
        <w:widowControl/>
        <w:spacing w:before="75" w:after="75" w:line="435" w:lineRule="atLeast"/>
        <w:ind w:firstLine="480"/>
        <w:jc w:val="left"/>
        <w:rPr>
          <w:rFonts w:ascii="宋体" w:hAnsi="宋体" w:cs="宋体"/>
          <w:kern w:val="0"/>
          <w:sz w:val="24"/>
        </w:rPr>
      </w:pPr>
      <w:r>
        <w:rPr>
          <w:rFonts w:ascii="宋体" w:hAnsi="宋体" w:cs="宋体"/>
          <w:kern w:val="0"/>
          <w:sz w:val="24"/>
        </w:rPr>
        <w:t>6、验收</w:t>
      </w:r>
    </w:p>
    <w:p w14:paraId="635E1271">
      <w:pPr>
        <w:widowControl/>
        <w:spacing w:before="75" w:after="75" w:line="435" w:lineRule="atLeast"/>
        <w:ind w:firstLine="480"/>
        <w:jc w:val="left"/>
        <w:rPr>
          <w:rFonts w:ascii="宋体" w:hAnsi="宋体" w:cs="宋体"/>
          <w:kern w:val="0"/>
          <w:sz w:val="24"/>
        </w:rPr>
      </w:pPr>
      <w:r>
        <w:rPr>
          <w:rFonts w:ascii="宋体" w:hAnsi="宋体" w:cs="宋体"/>
          <w:kern w:val="0"/>
          <w:sz w:val="24"/>
        </w:rPr>
        <w:t>6.1验收应按照谈判文件、乙方响应文件的规定或约定进行，具体如下：</w:t>
      </w:r>
    </w:p>
    <w:p w14:paraId="5545E8F0">
      <w:pPr>
        <w:widowControl/>
        <w:spacing w:before="75" w:after="75" w:line="435" w:lineRule="atLeast"/>
        <w:ind w:firstLine="480"/>
        <w:jc w:val="left"/>
        <w:rPr>
          <w:rFonts w:ascii="宋体" w:hAnsi="宋体" w:cs="宋体"/>
          <w:kern w:val="0"/>
          <w:sz w:val="24"/>
        </w:rPr>
      </w:pPr>
      <w:r>
        <w:rPr>
          <w:rFonts w:ascii="宋体" w:hAnsi="宋体" w:cs="宋体"/>
          <w:kern w:val="0"/>
          <w:sz w:val="24"/>
        </w:rPr>
        <w:t>（根据实际情况填写，可以是表格或文字描述）。</w:t>
      </w:r>
    </w:p>
    <w:p w14:paraId="52CE4FAC">
      <w:pPr>
        <w:widowControl/>
        <w:spacing w:before="75" w:after="75" w:line="435" w:lineRule="atLeast"/>
        <w:ind w:firstLine="480"/>
        <w:jc w:val="left"/>
        <w:rPr>
          <w:rFonts w:ascii="宋体" w:hAnsi="宋体" w:cs="宋体"/>
          <w:kern w:val="0"/>
          <w:sz w:val="24"/>
        </w:rPr>
      </w:pPr>
      <w:r>
        <w:rPr>
          <w:rFonts w:ascii="宋体" w:hAnsi="宋体" w:cs="宋体"/>
          <w:kern w:val="0"/>
          <w:sz w:val="24"/>
        </w:rPr>
        <w:t>6.2本项目是否邀请其他供应商参与验收：</w:t>
      </w:r>
    </w:p>
    <w:p w14:paraId="5091B238">
      <w:pPr>
        <w:widowControl/>
        <w:spacing w:before="75" w:after="75" w:line="435" w:lineRule="atLeast"/>
        <w:ind w:firstLine="480"/>
        <w:jc w:val="left"/>
        <w:rPr>
          <w:rFonts w:ascii="宋体" w:hAnsi="宋体" w:cs="宋体"/>
          <w:kern w:val="0"/>
          <w:sz w:val="24"/>
        </w:rPr>
      </w:pPr>
      <w:r>
        <w:rPr>
          <w:rFonts w:ascii="宋体" w:hAnsi="宋体" w:cs="宋体"/>
          <w:kern w:val="0"/>
          <w:sz w:val="24"/>
        </w:rPr>
        <w:t>□不邀请。□邀请，具体如下：（按照谈判文件规定填写）。</w:t>
      </w:r>
    </w:p>
    <w:p w14:paraId="73AC6FC0">
      <w:pPr>
        <w:widowControl/>
        <w:spacing w:before="75" w:after="75" w:line="435" w:lineRule="atLeast"/>
        <w:ind w:firstLine="480"/>
        <w:jc w:val="left"/>
        <w:rPr>
          <w:rFonts w:ascii="宋体" w:hAnsi="宋体" w:cs="宋体"/>
          <w:kern w:val="0"/>
          <w:sz w:val="24"/>
        </w:rPr>
      </w:pPr>
      <w:r>
        <w:rPr>
          <w:rFonts w:ascii="宋体" w:hAnsi="宋体" w:cs="宋体"/>
          <w:kern w:val="0"/>
          <w:sz w:val="24"/>
        </w:rPr>
        <w:t>7、合同款项的支付应按照谈判文件的规定进行，具体如下：</w:t>
      </w:r>
    </w:p>
    <w:p w14:paraId="347C721D">
      <w:pPr>
        <w:widowControl/>
        <w:spacing w:before="75" w:after="75" w:line="435" w:lineRule="atLeast"/>
        <w:ind w:firstLine="480"/>
        <w:jc w:val="left"/>
        <w:rPr>
          <w:rFonts w:ascii="宋体" w:hAnsi="宋体" w:cs="宋体"/>
          <w:kern w:val="0"/>
          <w:sz w:val="24"/>
        </w:rPr>
      </w:pPr>
      <w:r>
        <w:rPr>
          <w:rFonts w:ascii="宋体" w:hAnsi="宋体" w:cs="宋体"/>
          <w:kern w:val="0"/>
          <w:sz w:val="24"/>
        </w:rPr>
        <w:t>（根据实际情况填写，可以是表格或文字描述，包括一次性支付或分期支付等）。</w:t>
      </w:r>
    </w:p>
    <w:p w14:paraId="01551440">
      <w:pPr>
        <w:widowControl/>
        <w:spacing w:before="75" w:after="75" w:line="435" w:lineRule="atLeast"/>
        <w:ind w:firstLine="480"/>
        <w:jc w:val="left"/>
        <w:rPr>
          <w:rFonts w:ascii="宋体" w:hAnsi="宋体" w:cs="宋体"/>
          <w:kern w:val="0"/>
          <w:sz w:val="24"/>
        </w:rPr>
      </w:pPr>
      <w:r>
        <w:rPr>
          <w:rFonts w:ascii="宋体" w:hAnsi="宋体" w:cs="宋体"/>
          <w:kern w:val="0"/>
          <w:sz w:val="24"/>
        </w:rPr>
        <w:t>8、履约保证金</w:t>
      </w:r>
    </w:p>
    <w:p w14:paraId="000218BC">
      <w:pPr>
        <w:widowControl/>
        <w:spacing w:before="75" w:after="75" w:line="435" w:lineRule="atLeast"/>
        <w:ind w:firstLine="480"/>
        <w:jc w:val="left"/>
        <w:rPr>
          <w:rFonts w:ascii="宋体" w:hAnsi="宋体" w:cs="宋体"/>
          <w:kern w:val="0"/>
          <w:sz w:val="24"/>
        </w:rPr>
      </w:pPr>
      <w:r>
        <w:rPr>
          <w:rFonts w:ascii="宋体" w:hAnsi="宋体" w:cs="宋体"/>
          <w:kern w:val="0"/>
          <w:sz w:val="24"/>
        </w:rPr>
        <w:t>□无。□有，具体如下：（按照谈判文件规定填写）。</w:t>
      </w:r>
    </w:p>
    <w:p w14:paraId="1C90C593">
      <w:pPr>
        <w:widowControl/>
        <w:spacing w:before="75" w:after="75" w:line="435" w:lineRule="atLeast"/>
        <w:ind w:firstLine="480"/>
        <w:jc w:val="left"/>
        <w:rPr>
          <w:rFonts w:ascii="宋体" w:hAnsi="宋体" w:cs="宋体"/>
          <w:kern w:val="0"/>
          <w:sz w:val="24"/>
        </w:rPr>
      </w:pPr>
      <w:r>
        <w:rPr>
          <w:rFonts w:ascii="宋体" w:hAnsi="宋体" w:cs="宋体"/>
          <w:kern w:val="0"/>
          <w:sz w:val="24"/>
        </w:rPr>
        <w:t>9、合同有效期</w:t>
      </w:r>
    </w:p>
    <w:p w14:paraId="4DA73D6A">
      <w:pPr>
        <w:widowControl/>
        <w:spacing w:before="75" w:after="75" w:line="435" w:lineRule="atLeast"/>
        <w:ind w:firstLine="480"/>
        <w:jc w:val="left"/>
        <w:rPr>
          <w:rFonts w:ascii="宋体" w:hAnsi="宋体" w:cs="宋体"/>
          <w:kern w:val="0"/>
          <w:sz w:val="24"/>
        </w:rPr>
      </w:pPr>
      <w:r>
        <w:rPr>
          <w:rFonts w:ascii="宋体" w:hAnsi="宋体" w:cs="宋体"/>
          <w:kern w:val="0"/>
          <w:sz w:val="24"/>
        </w:rPr>
        <w:t>（根据实际情况填写，可以是表格或文字描述）。</w:t>
      </w:r>
    </w:p>
    <w:p w14:paraId="468B62C7">
      <w:pPr>
        <w:widowControl/>
        <w:spacing w:before="75" w:after="75" w:line="435" w:lineRule="atLeast"/>
        <w:ind w:firstLine="480"/>
        <w:jc w:val="left"/>
        <w:rPr>
          <w:rFonts w:ascii="宋体" w:hAnsi="宋体" w:cs="宋体"/>
          <w:kern w:val="0"/>
          <w:sz w:val="24"/>
        </w:rPr>
      </w:pPr>
      <w:r>
        <w:rPr>
          <w:rFonts w:ascii="宋体" w:hAnsi="宋体" w:cs="宋体"/>
          <w:kern w:val="0"/>
          <w:sz w:val="24"/>
        </w:rPr>
        <w:t>10、违约责任</w:t>
      </w:r>
    </w:p>
    <w:p w14:paraId="345B7F69">
      <w:pPr>
        <w:widowControl/>
        <w:spacing w:before="75" w:after="75" w:line="435" w:lineRule="atLeast"/>
        <w:ind w:firstLine="480"/>
        <w:jc w:val="left"/>
        <w:rPr>
          <w:rFonts w:ascii="宋体" w:hAnsi="宋体" w:cs="宋体"/>
          <w:kern w:val="0"/>
          <w:sz w:val="24"/>
        </w:rPr>
      </w:pPr>
      <w:r>
        <w:rPr>
          <w:rFonts w:ascii="宋体" w:hAnsi="宋体" w:cs="宋体"/>
          <w:kern w:val="0"/>
          <w:sz w:val="24"/>
        </w:rPr>
        <w:t>（根据实际情况填写，可以是表格或文字描述）。</w:t>
      </w:r>
    </w:p>
    <w:p w14:paraId="420311B4">
      <w:pPr>
        <w:widowControl/>
        <w:spacing w:before="75" w:after="75" w:line="435" w:lineRule="atLeast"/>
        <w:ind w:firstLine="480"/>
        <w:jc w:val="left"/>
        <w:rPr>
          <w:rFonts w:ascii="宋体" w:hAnsi="宋体" w:cs="宋体"/>
          <w:kern w:val="0"/>
          <w:sz w:val="24"/>
        </w:rPr>
      </w:pPr>
      <w:r>
        <w:rPr>
          <w:rFonts w:ascii="宋体" w:hAnsi="宋体" w:cs="宋体"/>
          <w:kern w:val="0"/>
          <w:sz w:val="24"/>
        </w:rPr>
        <w:t>11、知识产权</w:t>
      </w:r>
    </w:p>
    <w:p w14:paraId="4C6E620A">
      <w:pPr>
        <w:widowControl/>
        <w:spacing w:before="75" w:after="75" w:line="435" w:lineRule="atLeast"/>
        <w:ind w:firstLine="480"/>
        <w:jc w:val="left"/>
        <w:rPr>
          <w:rFonts w:ascii="宋体" w:hAnsi="宋体" w:cs="宋体"/>
          <w:kern w:val="0"/>
          <w:sz w:val="24"/>
        </w:rPr>
      </w:pPr>
      <w:r>
        <w:rPr>
          <w:rFonts w:ascii="宋体" w:hAnsi="宋体" w:cs="宋体"/>
          <w:kern w:val="0"/>
          <w:sz w:val="24"/>
        </w:rPr>
        <w:t>11.1乙方提供的采购标的应符合国家知识产权法律、法规的规定且非假冒伪劣品；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w:t>
      </w:r>
    </w:p>
    <w:p w14:paraId="3F077FE3">
      <w:pPr>
        <w:widowControl/>
        <w:spacing w:before="75" w:after="75" w:line="435" w:lineRule="atLeast"/>
        <w:ind w:firstLine="480"/>
        <w:jc w:val="left"/>
        <w:rPr>
          <w:rFonts w:ascii="宋体" w:hAnsi="宋体" w:cs="宋体"/>
          <w:kern w:val="0"/>
          <w:sz w:val="24"/>
        </w:rPr>
      </w:pPr>
      <w:r>
        <w:rPr>
          <w:rFonts w:ascii="宋体" w:hAnsi="宋体" w:cs="宋体"/>
          <w:kern w:val="0"/>
          <w:sz w:val="24"/>
        </w:rPr>
        <w:t>11.2若乙方提供的采购标的不符合国家知识产权法律、法规的规定或被有关主管机关认定为假冒伪劣品，则乙方中标资格将被取消；甲方还将按照有关法律、法规和规章的规定进行处理，具体如下：（根据实际情况填写）。</w:t>
      </w:r>
    </w:p>
    <w:p w14:paraId="0D3DC93A">
      <w:pPr>
        <w:widowControl/>
        <w:spacing w:before="75" w:after="75" w:line="435" w:lineRule="atLeast"/>
        <w:ind w:firstLine="480"/>
        <w:jc w:val="left"/>
        <w:rPr>
          <w:rFonts w:ascii="宋体" w:hAnsi="宋体" w:cs="宋体"/>
          <w:kern w:val="0"/>
          <w:sz w:val="24"/>
        </w:rPr>
      </w:pPr>
      <w:r>
        <w:rPr>
          <w:rFonts w:ascii="宋体" w:hAnsi="宋体" w:cs="宋体"/>
          <w:kern w:val="0"/>
          <w:sz w:val="24"/>
        </w:rPr>
        <w:t>12、解决争议的方法</w:t>
      </w:r>
    </w:p>
    <w:p w14:paraId="42ABBD72">
      <w:pPr>
        <w:widowControl/>
        <w:spacing w:before="75" w:after="75" w:line="435" w:lineRule="atLeast"/>
        <w:ind w:firstLine="480"/>
        <w:jc w:val="left"/>
        <w:rPr>
          <w:rFonts w:ascii="宋体" w:hAnsi="宋体" w:cs="宋体"/>
          <w:kern w:val="0"/>
          <w:sz w:val="24"/>
        </w:rPr>
      </w:pPr>
      <w:r>
        <w:rPr>
          <w:rFonts w:ascii="宋体" w:hAnsi="宋体" w:cs="宋体"/>
          <w:kern w:val="0"/>
          <w:sz w:val="24"/>
        </w:rPr>
        <w:t>12.1甲、乙双方协商解决。</w:t>
      </w:r>
    </w:p>
    <w:p w14:paraId="62C39CD0">
      <w:pPr>
        <w:widowControl/>
        <w:spacing w:before="75" w:after="75" w:line="435" w:lineRule="atLeast"/>
        <w:ind w:firstLine="480"/>
        <w:jc w:val="left"/>
        <w:rPr>
          <w:rFonts w:ascii="宋体" w:hAnsi="宋体" w:cs="宋体"/>
          <w:kern w:val="0"/>
          <w:sz w:val="24"/>
        </w:rPr>
      </w:pPr>
      <w:r>
        <w:rPr>
          <w:rFonts w:ascii="宋体" w:hAnsi="宋体" w:cs="宋体"/>
          <w:kern w:val="0"/>
          <w:sz w:val="24"/>
        </w:rPr>
        <w:t>12.2若协商解决不成，则通过下列途径之一解决：</w:t>
      </w:r>
    </w:p>
    <w:p w14:paraId="37206042">
      <w:pPr>
        <w:widowControl/>
        <w:spacing w:before="75" w:after="75" w:line="435" w:lineRule="atLeast"/>
        <w:ind w:firstLine="480"/>
        <w:jc w:val="left"/>
        <w:rPr>
          <w:rFonts w:ascii="宋体" w:hAnsi="宋体" w:cs="宋体"/>
          <w:kern w:val="0"/>
          <w:sz w:val="24"/>
        </w:rPr>
      </w:pPr>
      <w:r>
        <w:rPr>
          <w:rFonts w:ascii="宋体" w:hAnsi="宋体" w:cs="宋体"/>
          <w:kern w:val="0"/>
          <w:sz w:val="24"/>
        </w:rPr>
        <w:t>□提交仲裁委员会仲裁，具体如下：（根据实际情况填写）。</w:t>
      </w:r>
    </w:p>
    <w:p w14:paraId="52FDCEEE">
      <w:pPr>
        <w:widowControl/>
        <w:spacing w:before="75" w:after="75" w:line="435" w:lineRule="atLeast"/>
        <w:ind w:firstLine="480"/>
        <w:jc w:val="left"/>
        <w:rPr>
          <w:rFonts w:ascii="宋体" w:hAnsi="宋体" w:cs="宋体"/>
          <w:kern w:val="0"/>
          <w:sz w:val="24"/>
        </w:rPr>
      </w:pPr>
      <w:r>
        <w:rPr>
          <w:rFonts w:ascii="宋体" w:hAnsi="宋体" w:cs="宋体"/>
          <w:kern w:val="0"/>
          <w:sz w:val="24"/>
        </w:rPr>
        <w:t>□向人民法院提起诉讼，具体如下：（根据实际情况填写）。</w:t>
      </w:r>
    </w:p>
    <w:p w14:paraId="6AE72AC3">
      <w:pPr>
        <w:widowControl/>
        <w:spacing w:before="75" w:after="75" w:line="435" w:lineRule="atLeast"/>
        <w:ind w:firstLine="480"/>
        <w:jc w:val="left"/>
        <w:rPr>
          <w:rFonts w:ascii="宋体" w:hAnsi="宋体" w:cs="宋体"/>
          <w:kern w:val="0"/>
          <w:sz w:val="24"/>
        </w:rPr>
      </w:pPr>
      <w:r>
        <w:rPr>
          <w:rFonts w:ascii="宋体" w:hAnsi="宋体" w:cs="宋体"/>
          <w:kern w:val="0"/>
          <w:sz w:val="24"/>
        </w:rPr>
        <w:t>13、不可抗力</w:t>
      </w:r>
    </w:p>
    <w:p w14:paraId="7032DAA7">
      <w:pPr>
        <w:widowControl/>
        <w:spacing w:before="75" w:after="75" w:line="435" w:lineRule="atLeast"/>
        <w:ind w:firstLine="480"/>
        <w:jc w:val="left"/>
        <w:rPr>
          <w:rFonts w:ascii="宋体" w:hAnsi="宋体" w:cs="宋体"/>
          <w:kern w:val="0"/>
          <w:sz w:val="24"/>
        </w:rPr>
      </w:pPr>
      <w:r>
        <w:rPr>
          <w:rFonts w:ascii="宋体" w:hAnsi="宋体" w:cs="宋体"/>
          <w:kern w:val="0"/>
          <w:sz w:val="24"/>
        </w:rPr>
        <w:t>13.1因不可抗力造成违约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4732F26B">
      <w:pPr>
        <w:widowControl/>
        <w:spacing w:before="75" w:after="75" w:line="435" w:lineRule="atLeast"/>
        <w:ind w:firstLine="480"/>
        <w:jc w:val="left"/>
        <w:rPr>
          <w:rFonts w:ascii="宋体" w:hAnsi="宋体" w:cs="宋体"/>
          <w:kern w:val="0"/>
          <w:sz w:val="24"/>
        </w:rPr>
      </w:pPr>
      <w:r>
        <w:rPr>
          <w:rFonts w:ascii="宋体" w:hAnsi="宋体" w:cs="宋体"/>
          <w:kern w:val="0"/>
          <w:sz w:val="24"/>
        </w:rPr>
        <w:t>13.2本合同中的不可抗力指不能预见、不能避免、不能克服的客观情况，包括但不限于：自然灾害如地震、台风、洪水、火灾及政府行为、法律规定或其适用的变化或其他任何无法预见、避免或控制的事件。</w:t>
      </w:r>
    </w:p>
    <w:p w14:paraId="441F3C68">
      <w:pPr>
        <w:widowControl/>
        <w:spacing w:before="75" w:after="75" w:line="435" w:lineRule="atLeast"/>
        <w:ind w:firstLine="480"/>
        <w:jc w:val="left"/>
        <w:rPr>
          <w:rFonts w:ascii="宋体" w:hAnsi="宋体" w:cs="宋体"/>
          <w:kern w:val="0"/>
          <w:sz w:val="24"/>
        </w:rPr>
      </w:pPr>
      <w:r>
        <w:rPr>
          <w:rFonts w:ascii="宋体" w:hAnsi="宋体" w:cs="宋体"/>
          <w:kern w:val="0"/>
          <w:sz w:val="24"/>
        </w:rPr>
        <w:t>14、合同条款</w:t>
      </w:r>
    </w:p>
    <w:p w14:paraId="6D0C10E9">
      <w:pPr>
        <w:widowControl/>
        <w:spacing w:before="75" w:after="75" w:line="435" w:lineRule="atLeast"/>
        <w:ind w:firstLine="480"/>
        <w:jc w:val="left"/>
        <w:rPr>
          <w:rFonts w:ascii="宋体" w:hAnsi="宋体" w:cs="宋体"/>
          <w:kern w:val="0"/>
          <w:sz w:val="24"/>
        </w:rPr>
      </w:pPr>
      <w:r>
        <w:rPr>
          <w:rFonts w:ascii="宋体" w:hAnsi="宋体" w:cs="宋体"/>
          <w:kern w:val="0"/>
          <w:sz w:val="24"/>
        </w:rPr>
        <w:t>（根据实际情况填写）。</w:t>
      </w:r>
    </w:p>
    <w:p w14:paraId="29CAFAA4">
      <w:pPr>
        <w:widowControl/>
        <w:spacing w:before="75" w:after="75" w:line="435" w:lineRule="atLeast"/>
        <w:ind w:firstLine="480"/>
        <w:jc w:val="left"/>
        <w:rPr>
          <w:rFonts w:ascii="宋体" w:hAnsi="宋体" w:cs="宋体"/>
          <w:kern w:val="0"/>
          <w:sz w:val="24"/>
        </w:rPr>
      </w:pPr>
      <w:r>
        <w:rPr>
          <w:rFonts w:ascii="宋体" w:hAnsi="宋体" w:cs="宋体"/>
          <w:kern w:val="0"/>
          <w:sz w:val="24"/>
        </w:rPr>
        <w:t>15、其他约定</w:t>
      </w:r>
    </w:p>
    <w:p w14:paraId="640CF7AB">
      <w:pPr>
        <w:widowControl/>
        <w:spacing w:before="75" w:after="75" w:line="435" w:lineRule="atLeast"/>
        <w:ind w:firstLine="480"/>
        <w:jc w:val="left"/>
        <w:rPr>
          <w:rFonts w:ascii="宋体" w:hAnsi="宋体" w:cs="宋体"/>
          <w:kern w:val="0"/>
          <w:sz w:val="24"/>
        </w:rPr>
      </w:pPr>
      <w:r>
        <w:rPr>
          <w:rFonts w:ascii="宋体" w:hAnsi="宋体" w:cs="宋体"/>
          <w:kern w:val="0"/>
          <w:sz w:val="24"/>
        </w:rPr>
        <w:t>15.1合同文件与本合同具有同等法律效力。</w:t>
      </w:r>
    </w:p>
    <w:p w14:paraId="4B571B81">
      <w:pPr>
        <w:widowControl/>
        <w:spacing w:before="75" w:after="75" w:line="435" w:lineRule="atLeast"/>
        <w:ind w:firstLine="480"/>
        <w:jc w:val="left"/>
        <w:rPr>
          <w:rFonts w:ascii="宋体" w:hAnsi="宋体" w:cs="宋体"/>
          <w:kern w:val="0"/>
          <w:sz w:val="24"/>
        </w:rPr>
      </w:pPr>
      <w:r>
        <w:rPr>
          <w:rFonts w:ascii="宋体" w:hAnsi="宋体" w:cs="宋体"/>
          <w:kern w:val="0"/>
          <w:sz w:val="24"/>
        </w:rPr>
        <w:t>15.2本合同未尽事宜，双方可另行补充。</w:t>
      </w:r>
    </w:p>
    <w:p w14:paraId="0314058C">
      <w:pPr>
        <w:widowControl/>
        <w:spacing w:before="75" w:after="75" w:line="435" w:lineRule="atLeast"/>
        <w:ind w:firstLine="480"/>
        <w:jc w:val="left"/>
        <w:rPr>
          <w:rFonts w:ascii="宋体" w:hAnsi="宋体" w:cs="宋体"/>
          <w:kern w:val="0"/>
          <w:sz w:val="24"/>
        </w:rPr>
      </w:pPr>
      <w:r>
        <w:rPr>
          <w:rFonts w:ascii="宋体" w:hAnsi="宋体" w:cs="宋体"/>
          <w:kern w:val="0"/>
          <w:sz w:val="24"/>
        </w:rPr>
        <w:t>15.3本合同自签订之日起生效。</w:t>
      </w:r>
    </w:p>
    <w:p w14:paraId="01375DE0">
      <w:pPr>
        <w:widowControl/>
        <w:spacing w:before="75" w:after="75" w:line="435" w:lineRule="atLeast"/>
        <w:ind w:firstLine="480"/>
        <w:jc w:val="left"/>
        <w:rPr>
          <w:rFonts w:ascii="宋体" w:hAnsi="宋体" w:cs="宋体"/>
          <w:kern w:val="0"/>
          <w:sz w:val="24"/>
        </w:rPr>
      </w:pPr>
      <w:r>
        <w:rPr>
          <w:rFonts w:ascii="宋体" w:hAnsi="宋体" w:cs="宋体"/>
          <w:kern w:val="0"/>
          <w:sz w:val="24"/>
        </w:rPr>
        <w:t>15.4本合同一式（填写具体份数）份，经双方授权代表签字并盖章后生效。甲方、乙方各执（填写具体份数）份，送（填写需要备案的监管部门的全称）备案（填写具体份数）份，具有同等效力。</w:t>
      </w:r>
    </w:p>
    <w:p w14:paraId="382A7515">
      <w:pPr>
        <w:widowControl/>
        <w:spacing w:before="75" w:after="75" w:line="435" w:lineRule="atLeast"/>
        <w:ind w:firstLine="480"/>
        <w:jc w:val="left"/>
        <w:rPr>
          <w:rFonts w:ascii="宋体" w:hAnsi="宋体" w:cs="宋体"/>
          <w:kern w:val="0"/>
          <w:sz w:val="24"/>
        </w:rPr>
      </w:pPr>
      <w:r>
        <w:rPr>
          <w:rFonts w:ascii="宋体" w:hAnsi="宋体" w:cs="宋体"/>
          <w:kern w:val="0"/>
          <w:sz w:val="24"/>
        </w:rPr>
        <w:t>15.5其他：□无。□（根据实际情况填写需要增加的内容）。</w:t>
      </w:r>
    </w:p>
    <w:p w14:paraId="0EA54D87">
      <w:pPr>
        <w:widowControl/>
        <w:spacing w:before="75" w:after="75" w:line="435" w:lineRule="atLeast"/>
        <w:jc w:val="center"/>
        <w:rPr>
          <w:rFonts w:ascii="宋体" w:hAnsi="宋体" w:cs="宋体"/>
          <w:kern w:val="0"/>
          <w:sz w:val="24"/>
        </w:rPr>
      </w:pPr>
      <w:r>
        <w:rPr>
          <w:rFonts w:ascii="宋体" w:hAnsi="宋体" w:cs="宋体"/>
          <w:kern w:val="0"/>
          <w:sz w:val="24"/>
        </w:rPr>
        <w:t>（以下无正文）</w:t>
      </w:r>
    </w:p>
    <w:p w14:paraId="26901CD5">
      <w:pPr>
        <w:widowControl/>
        <w:spacing w:before="75" w:after="75" w:line="435" w:lineRule="atLeast"/>
        <w:jc w:val="left"/>
        <w:rPr>
          <w:rFonts w:ascii="宋体" w:hAnsi="宋体" w:cs="宋体"/>
          <w:kern w:val="0"/>
          <w:sz w:val="24"/>
        </w:rPr>
      </w:pPr>
      <w:r>
        <w:rPr>
          <w:rFonts w:ascii="宋体" w:hAnsi="宋体" w:cs="宋体"/>
          <w:kern w:val="0"/>
          <w:sz w:val="24"/>
        </w:rPr>
        <w:t>甲方：              乙方：</w:t>
      </w:r>
    </w:p>
    <w:p w14:paraId="2A2F0D4F">
      <w:pPr>
        <w:widowControl/>
        <w:spacing w:before="75" w:after="75" w:line="435" w:lineRule="atLeast"/>
        <w:jc w:val="left"/>
        <w:rPr>
          <w:rFonts w:ascii="宋体" w:hAnsi="宋体" w:cs="宋体"/>
          <w:kern w:val="0"/>
          <w:sz w:val="24"/>
        </w:rPr>
      </w:pPr>
    </w:p>
    <w:p w14:paraId="559321DB">
      <w:pPr>
        <w:widowControl/>
        <w:spacing w:before="75" w:after="75" w:line="435" w:lineRule="atLeast"/>
        <w:jc w:val="left"/>
        <w:rPr>
          <w:rFonts w:ascii="宋体" w:hAnsi="宋体" w:cs="宋体"/>
          <w:kern w:val="0"/>
          <w:sz w:val="24"/>
        </w:rPr>
      </w:pPr>
      <w:r>
        <w:rPr>
          <w:rFonts w:ascii="宋体" w:hAnsi="宋体" w:cs="宋体"/>
          <w:kern w:val="0"/>
          <w:sz w:val="24"/>
        </w:rPr>
        <w:t>住所：                住所：</w:t>
      </w:r>
    </w:p>
    <w:p w14:paraId="24D5FE26">
      <w:pPr>
        <w:widowControl/>
        <w:spacing w:before="75" w:after="75" w:line="435" w:lineRule="atLeast"/>
        <w:jc w:val="left"/>
        <w:rPr>
          <w:rFonts w:ascii="宋体" w:hAnsi="宋体" w:cs="宋体"/>
          <w:kern w:val="0"/>
          <w:sz w:val="24"/>
        </w:rPr>
      </w:pPr>
      <w:r>
        <w:rPr>
          <w:rFonts w:ascii="宋体" w:hAnsi="宋体" w:cs="宋体"/>
          <w:kern w:val="0"/>
          <w:sz w:val="24"/>
        </w:rPr>
        <w:t>单位负责人：             单位负责人：</w:t>
      </w:r>
    </w:p>
    <w:p w14:paraId="037F01DC">
      <w:pPr>
        <w:widowControl/>
        <w:spacing w:before="75" w:after="75" w:line="435" w:lineRule="atLeast"/>
        <w:jc w:val="left"/>
        <w:rPr>
          <w:rFonts w:ascii="宋体" w:hAnsi="宋体" w:cs="宋体"/>
          <w:kern w:val="0"/>
          <w:sz w:val="24"/>
        </w:rPr>
      </w:pPr>
    </w:p>
    <w:p w14:paraId="79A63AFA">
      <w:pPr>
        <w:widowControl/>
        <w:spacing w:before="75" w:after="75" w:line="435" w:lineRule="atLeast"/>
        <w:jc w:val="left"/>
        <w:rPr>
          <w:rFonts w:ascii="宋体" w:hAnsi="宋体" w:cs="宋体"/>
          <w:kern w:val="0"/>
          <w:sz w:val="24"/>
        </w:rPr>
      </w:pPr>
      <w:r>
        <w:rPr>
          <w:rFonts w:ascii="宋体" w:hAnsi="宋体" w:cs="宋体"/>
          <w:kern w:val="0"/>
          <w:sz w:val="24"/>
        </w:rPr>
        <w:t>委托代理人：             委托代理人：</w:t>
      </w:r>
    </w:p>
    <w:p w14:paraId="3BBEF20F">
      <w:pPr>
        <w:widowControl/>
        <w:spacing w:before="75" w:after="75" w:line="435" w:lineRule="atLeast"/>
        <w:jc w:val="left"/>
        <w:rPr>
          <w:rFonts w:ascii="宋体" w:hAnsi="宋体" w:cs="宋体"/>
          <w:kern w:val="0"/>
          <w:sz w:val="24"/>
        </w:rPr>
      </w:pPr>
    </w:p>
    <w:p w14:paraId="3516B280">
      <w:pPr>
        <w:widowControl/>
        <w:spacing w:before="75" w:after="75" w:line="435" w:lineRule="atLeast"/>
        <w:jc w:val="left"/>
        <w:rPr>
          <w:rFonts w:ascii="宋体" w:hAnsi="宋体" w:cs="宋体"/>
          <w:kern w:val="0"/>
          <w:sz w:val="24"/>
        </w:rPr>
      </w:pPr>
      <w:r>
        <w:rPr>
          <w:rFonts w:ascii="宋体" w:hAnsi="宋体" w:cs="宋体"/>
          <w:kern w:val="0"/>
          <w:sz w:val="24"/>
        </w:rPr>
        <w:t>联系方法：              联系方法：</w:t>
      </w:r>
    </w:p>
    <w:p w14:paraId="0E365BEB">
      <w:pPr>
        <w:widowControl/>
        <w:spacing w:before="75" w:after="75" w:line="435" w:lineRule="atLeast"/>
        <w:jc w:val="left"/>
        <w:rPr>
          <w:rFonts w:ascii="宋体" w:hAnsi="宋体" w:cs="宋体"/>
          <w:kern w:val="0"/>
          <w:sz w:val="24"/>
        </w:rPr>
      </w:pPr>
      <w:r>
        <w:rPr>
          <w:rFonts w:ascii="宋体" w:hAnsi="宋体" w:cs="宋体"/>
          <w:kern w:val="0"/>
          <w:sz w:val="24"/>
        </w:rPr>
        <w:t>开户银行：              开户银行：</w:t>
      </w:r>
    </w:p>
    <w:p w14:paraId="063D5701">
      <w:pPr>
        <w:widowControl/>
        <w:spacing w:before="75" w:after="75" w:line="435" w:lineRule="atLeast"/>
        <w:jc w:val="left"/>
        <w:rPr>
          <w:rFonts w:ascii="宋体" w:hAnsi="宋体" w:cs="宋体"/>
          <w:kern w:val="0"/>
          <w:sz w:val="24"/>
        </w:rPr>
      </w:pPr>
      <w:r>
        <w:rPr>
          <w:rFonts w:ascii="宋体" w:hAnsi="宋体" w:cs="宋体"/>
          <w:kern w:val="0"/>
          <w:sz w:val="24"/>
        </w:rPr>
        <w:t>账号：           账号： </w:t>
      </w:r>
    </w:p>
    <w:p w14:paraId="60F7076D">
      <w:pPr>
        <w:widowControl/>
        <w:spacing w:before="75" w:after="75" w:line="435" w:lineRule="atLeast"/>
        <w:jc w:val="left"/>
        <w:rPr>
          <w:rFonts w:ascii="宋体" w:hAnsi="宋体" w:cs="宋体"/>
          <w:kern w:val="0"/>
          <w:sz w:val="24"/>
        </w:rPr>
      </w:pPr>
      <w:r>
        <w:rPr>
          <w:rFonts w:ascii="宋体" w:hAnsi="宋体" w:cs="宋体"/>
          <w:kern w:val="0"/>
          <w:sz w:val="24"/>
        </w:rPr>
        <w:t>签订地点：                </w:t>
      </w:r>
    </w:p>
    <w:p w14:paraId="0F45EC80">
      <w:pPr>
        <w:widowControl/>
        <w:spacing w:before="75" w:after="75" w:line="435" w:lineRule="atLeast"/>
        <w:jc w:val="left"/>
        <w:rPr>
          <w:rFonts w:ascii="宋体" w:hAnsi="宋体" w:cs="宋体"/>
          <w:kern w:val="0"/>
          <w:sz w:val="24"/>
        </w:rPr>
      </w:pPr>
      <w:r>
        <w:rPr>
          <w:rFonts w:ascii="宋体" w:hAnsi="宋体" w:cs="宋体"/>
          <w:kern w:val="0"/>
          <w:sz w:val="24"/>
        </w:rPr>
        <w:t>签订日期：    年   月   日</w:t>
      </w:r>
    </w:p>
    <w:p w14:paraId="7B384690">
      <w:pPr>
        <w:widowControl/>
        <w:spacing w:before="75" w:after="240" w:line="435" w:lineRule="atLeast"/>
        <w:jc w:val="left"/>
        <w:rPr>
          <w:rFonts w:ascii="宋体" w:hAnsi="宋体" w:cs="宋体"/>
          <w:kern w:val="0"/>
          <w:sz w:val="24"/>
        </w:rPr>
      </w:pPr>
      <w:r>
        <w:rPr>
          <w:rFonts w:ascii="宋体" w:hAnsi="宋体" w:cs="宋体"/>
          <w:kern w:val="0"/>
          <w:sz w:val="24"/>
        </w:rPr>
        <w:t> </w:t>
      </w:r>
    </w:p>
    <w:p w14:paraId="64483CFB">
      <w:pPr>
        <w:widowControl/>
        <w:spacing w:before="75" w:after="75" w:line="435" w:lineRule="atLeast"/>
        <w:jc w:val="center"/>
        <w:rPr>
          <w:rFonts w:ascii="宋体" w:hAnsi="宋体" w:cs="宋体"/>
          <w:b/>
          <w:bCs/>
          <w:color w:val="auto"/>
          <w:kern w:val="0"/>
          <w:sz w:val="32"/>
          <w:szCs w:val="32"/>
        </w:rPr>
      </w:pPr>
    </w:p>
    <w:p w14:paraId="5F6457BF">
      <w:pPr>
        <w:widowControl/>
        <w:spacing w:before="75" w:after="75" w:line="435" w:lineRule="atLeast"/>
        <w:jc w:val="center"/>
        <w:rPr>
          <w:rFonts w:ascii="宋体" w:hAnsi="宋体" w:cs="宋体"/>
          <w:b/>
          <w:bCs/>
          <w:color w:val="auto"/>
          <w:kern w:val="0"/>
          <w:sz w:val="32"/>
          <w:szCs w:val="32"/>
        </w:rPr>
      </w:pPr>
    </w:p>
    <w:p w14:paraId="23B575B4">
      <w:pPr>
        <w:widowControl/>
        <w:spacing w:before="75" w:after="75" w:line="435" w:lineRule="atLeast"/>
        <w:jc w:val="center"/>
        <w:rPr>
          <w:rFonts w:ascii="宋体" w:hAnsi="宋体" w:cs="宋体"/>
          <w:b/>
          <w:bCs/>
          <w:color w:val="auto"/>
          <w:kern w:val="0"/>
          <w:sz w:val="32"/>
          <w:szCs w:val="32"/>
        </w:rPr>
      </w:pPr>
    </w:p>
    <w:p w14:paraId="3EEFED1E">
      <w:pPr>
        <w:widowControl/>
        <w:spacing w:before="75" w:after="75" w:line="435" w:lineRule="atLeast"/>
        <w:jc w:val="center"/>
        <w:rPr>
          <w:rFonts w:ascii="宋体" w:hAnsi="宋体" w:cs="宋体"/>
          <w:b/>
          <w:bCs/>
          <w:color w:val="auto"/>
          <w:kern w:val="0"/>
          <w:sz w:val="32"/>
          <w:szCs w:val="32"/>
        </w:rPr>
      </w:pPr>
    </w:p>
    <w:p w14:paraId="24A4B9E4">
      <w:pPr>
        <w:widowControl/>
        <w:spacing w:before="75" w:after="75" w:line="435" w:lineRule="atLeast"/>
        <w:jc w:val="center"/>
        <w:rPr>
          <w:rFonts w:ascii="宋体" w:hAnsi="宋体" w:cs="宋体"/>
          <w:b/>
          <w:bCs/>
          <w:color w:val="auto"/>
          <w:kern w:val="0"/>
          <w:sz w:val="32"/>
          <w:szCs w:val="32"/>
        </w:rPr>
      </w:pPr>
    </w:p>
    <w:p w14:paraId="68755205">
      <w:pPr>
        <w:widowControl/>
        <w:spacing w:before="75" w:after="75" w:line="435" w:lineRule="atLeast"/>
        <w:jc w:val="center"/>
        <w:rPr>
          <w:rFonts w:ascii="宋体" w:hAnsi="宋体" w:cs="宋体"/>
          <w:b/>
          <w:bCs/>
          <w:color w:val="auto"/>
          <w:kern w:val="0"/>
          <w:sz w:val="32"/>
          <w:szCs w:val="32"/>
        </w:rPr>
      </w:pPr>
    </w:p>
    <w:p w14:paraId="662A5F8A">
      <w:pPr>
        <w:widowControl/>
        <w:spacing w:before="75" w:after="75" w:line="435" w:lineRule="atLeast"/>
        <w:jc w:val="center"/>
        <w:rPr>
          <w:rFonts w:ascii="宋体" w:hAnsi="宋体" w:cs="宋体"/>
          <w:b/>
          <w:bCs/>
          <w:color w:val="auto"/>
          <w:kern w:val="0"/>
          <w:sz w:val="32"/>
          <w:szCs w:val="32"/>
        </w:rPr>
      </w:pPr>
    </w:p>
    <w:p w14:paraId="080DAFBD">
      <w:pPr>
        <w:widowControl/>
        <w:spacing w:before="75" w:after="75" w:line="435" w:lineRule="atLeast"/>
        <w:jc w:val="center"/>
        <w:rPr>
          <w:rFonts w:ascii="宋体" w:hAnsi="宋体" w:cs="宋体"/>
          <w:b/>
          <w:bCs/>
          <w:color w:val="auto"/>
          <w:kern w:val="0"/>
          <w:sz w:val="32"/>
          <w:szCs w:val="32"/>
        </w:rPr>
      </w:pPr>
    </w:p>
    <w:p w14:paraId="3F755764">
      <w:pPr>
        <w:widowControl/>
        <w:spacing w:before="75" w:after="75" w:line="435" w:lineRule="atLeast"/>
        <w:jc w:val="center"/>
        <w:rPr>
          <w:rFonts w:ascii="宋体" w:hAnsi="宋体" w:cs="宋体"/>
          <w:b/>
          <w:bCs/>
          <w:color w:val="auto"/>
          <w:kern w:val="0"/>
          <w:sz w:val="32"/>
          <w:szCs w:val="32"/>
        </w:rPr>
      </w:pPr>
    </w:p>
    <w:p w14:paraId="3BB543E8">
      <w:pPr>
        <w:widowControl/>
        <w:spacing w:before="75" w:after="75" w:line="435" w:lineRule="atLeast"/>
        <w:jc w:val="center"/>
        <w:rPr>
          <w:rFonts w:ascii="宋体" w:hAnsi="宋体" w:cs="宋体"/>
          <w:b/>
          <w:bCs/>
          <w:color w:val="auto"/>
          <w:kern w:val="0"/>
          <w:sz w:val="32"/>
          <w:szCs w:val="32"/>
        </w:rPr>
      </w:pPr>
    </w:p>
    <w:p w14:paraId="521AC29A">
      <w:pPr>
        <w:widowControl/>
        <w:spacing w:before="75" w:after="75" w:line="435" w:lineRule="atLeast"/>
        <w:jc w:val="center"/>
        <w:rPr>
          <w:rFonts w:ascii="宋体" w:hAnsi="宋体" w:cs="宋体"/>
          <w:b/>
          <w:bCs/>
          <w:color w:val="auto"/>
          <w:kern w:val="0"/>
          <w:sz w:val="32"/>
          <w:szCs w:val="32"/>
        </w:rPr>
      </w:pPr>
    </w:p>
    <w:p w14:paraId="5402E462">
      <w:pPr>
        <w:widowControl/>
        <w:spacing w:before="75" w:after="75" w:line="435" w:lineRule="atLeast"/>
        <w:jc w:val="center"/>
        <w:rPr>
          <w:rFonts w:ascii="宋体" w:hAnsi="宋体" w:cs="宋体"/>
          <w:b/>
          <w:bCs/>
          <w:color w:val="auto"/>
          <w:kern w:val="0"/>
          <w:sz w:val="32"/>
          <w:szCs w:val="32"/>
        </w:rPr>
      </w:pPr>
    </w:p>
    <w:p w14:paraId="59CCFAEB">
      <w:pPr>
        <w:widowControl/>
        <w:spacing w:before="75" w:after="75" w:line="435" w:lineRule="atLeast"/>
        <w:jc w:val="center"/>
        <w:rPr>
          <w:rFonts w:ascii="宋体" w:hAnsi="宋体" w:cs="宋体"/>
          <w:b/>
          <w:bCs/>
          <w:color w:val="auto"/>
          <w:kern w:val="0"/>
          <w:sz w:val="32"/>
          <w:szCs w:val="32"/>
        </w:rPr>
      </w:pPr>
    </w:p>
    <w:p w14:paraId="5CBBA167">
      <w:pPr>
        <w:widowControl/>
        <w:spacing w:before="75" w:after="75" w:line="435" w:lineRule="atLeast"/>
        <w:jc w:val="center"/>
        <w:rPr>
          <w:rFonts w:ascii="宋体" w:hAnsi="宋体" w:cs="宋体"/>
          <w:b/>
          <w:bCs/>
          <w:color w:val="auto"/>
          <w:kern w:val="0"/>
          <w:sz w:val="32"/>
          <w:szCs w:val="32"/>
        </w:rPr>
      </w:pPr>
    </w:p>
    <w:p w14:paraId="180D71C1">
      <w:pPr>
        <w:widowControl/>
        <w:spacing w:before="75" w:after="75" w:line="435" w:lineRule="atLeast"/>
        <w:jc w:val="center"/>
        <w:rPr>
          <w:rFonts w:ascii="宋体" w:hAnsi="宋体" w:cs="宋体"/>
          <w:b/>
          <w:bCs/>
          <w:color w:val="auto"/>
          <w:kern w:val="0"/>
          <w:sz w:val="32"/>
          <w:szCs w:val="32"/>
        </w:rPr>
      </w:pPr>
    </w:p>
    <w:p w14:paraId="26C96D1B">
      <w:pPr>
        <w:widowControl/>
        <w:spacing w:before="75" w:after="75" w:line="435" w:lineRule="atLeast"/>
        <w:jc w:val="center"/>
        <w:rPr>
          <w:rFonts w:ascii="宋体" w:hAnsi="宋体" w:cs="宋体"/>
          <w:b/>
          <w:bCs/>
          <w:color w:val="auto"/>
          <w:kern w:val="0"/>
          <w:sz w:val="32"/>
          <w:szCs w:val="32"/>
        </w:rPr>
      </w:pPr>
    </w:p>
    <w:p w14:paraId="0A2679C0">
      <w:pPr>
        <w:widowControl/>
        <w:spacing w:before="75" w:after="75" w:line="435" w:lineRule="atLeast"/>
        <w:jc w:val="center"/>
        <w:rPr>
          <w:rFonts w:ascii="宋体" w:hAnsi="宋体" w:cs="宋体"/>
          <w:b/>
          <w:bCs/>
          <w:color w:val="auto"/>
          <w:kern w:val="0"/>
          <w:sz w:val="32"/>
          <w:szCs w:val="32"/>
        </w:rPr>
      </w:pPr>
    </w:p>
    <w:p w14:paraId="61A7E80D">
      <w:pPr>
        <w:widowControl/>
        <w:spacing w:before="75" w:after="75" w:line="435" w:lineRule="atLeast"/>
        <w:jc w:val="center"/>
        <w:rPr>
          <w:rFonts w:ascii="宋体" w:hAnsi="宋体" w:cs="宋体"/>
          <w:color w:val="auto"/>
          <w:kern w:val="0"/>
          <w:sz w:val="32"/>
          <w:szCs w:val="32"/>
        </w:rPr>
      </w:pPr>
      <w:r>
        <w:rPr>
          <w:rFonts w:ascii="宋体" w:hAnsi="宋体" w:cs="宋体"/>
          <w:b/>
          <w:bCs/>
          <w:color w:val="auto"/>
          <w:kern w:val="0"/>
          <w:sz w:val="32"/>
          <w:szCs w:val="32"/>
        </w:rPr>
        <w:t>第五章  首次响应文件格式</w:t>
      </w:r>
    </w:p>
    <w:p w14:paraId="719C1F11">
      <w:pPr>
        <w:widowControl/>
        <w:spacing w:before="75" w:after="75"/>
        <w:jc w:val="center"/>
        <w:rPr>
          <w:rFonts w:ascii="宋体" w:hAnsi="宋体" w:cs="宋体"/>
          <w:color w:val="auto"/>
          <w:kern w:val="0"/>
          <w:sz w:val="24"/>
        </w:rPr>
      </w:pPr>
      <w:r>
        <w:rPr>
          <w:rFonts w:ascii="宋体" w:hAnsi="宋体" w:cs="宋体"/>
          <w:b/>
          <w:bCs/>
          <w:color w:val="auto"/>
          <w:kern w:val="0"/>
          <w:sz w:val="24"/>
        </w:rPr>
        <w:t> </w:t>
      </w:r>
    </w:p>
    <w:p w14:paraId="692402A4">
      <w:pPr>
        <w:widowControl/>
        <w:spacing w:before="75" w:after="75" w:line="435" w:lineRule="atLeast"/>
        <w:jc w:val="center"/>
        <w:rPr>
          <w:rFonts w:ascii="宋体" w:hAnsi="宋体" w:cs="宋体"/>
          <w:color w:val="auto"/>
          <w:kern w:val="0"/>
          <w:sz w:val="24"/>
        </w:rPr>
      </w:pPr>
      <w:r>
        <w:rPr>
          <w:rFonts w:ascii="宋体" w:hAnsi="宋体" w:cs="宋体"/>
          <w:b/>
          <w:bCs/>
          <w:color w:val="auto"/>
          <w:kern w:val="0"/>
          <w:sz w:val="24"/>
        </w:rPr>
        <w:t>编制说明</w:t>
      </w:r>
    </w:p>
    <w:p w14:paraId="2315796F">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1、本附件所有格式为响应文件的组成部分，供采购人或代理机构编制谈判文件时参考使用。由于新增政策、行业管理规定或者不同项目实际特点需要,则采购人或代理机构可以对有关表格进行必要的补充或修改，以满足实际项目的使用。</w:t>
      </w:r>
    </w:p>
    <w:p w14:paraId="72A295CC">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2、除谈判文件另有规定外，谈判文件要求原件的，供应商在纸质响应文件正本中应提供原件；谈判文件要求复印件的，供应商在纸质响应文件中可提供原件、复印件或扫描件；谈判文件对原件、复印件未作要求的，供应商可自行确定在纸质响应文件中提供原件、复印件或扫描件（若供应商提供注明“复印件无效”的材料或资料，供应商在纸质响应文件正本中应提供原件）。</w:t>
      </w:r>
    </w:p>
    <w:p w14:paraId="1C10646D">
      <w:pPr>
        <w:widowControl/>
        <w:spacing w:before="75" w:after="75" w:line="435" w:lineRule="atLeast"/>
        <w:jc w:val="left"/>
        <w:rPr>
          <w:rFonts w:ascii="宋体" w:hAnsi="宋体" w:cs="宋体"/>
          <w:color w:val="auto"/>
          <w:kern w:val="0"/>
          <w:sz w:val="24"/>
        </w:rPr>
      </w:pPr>
      <w:r>
        <w:rPr>
          <w:rFonts w:ascii="宋体" w:hAnsi="宋体" w:cs="宋体"/>
          <w:b/>
          <w:bCs/>
          <w:color w:val="auto"/>
          <w:kern w:val="0"/>
          <w:sz w:val="24"/>
        </w:rPr>
        <w:t> </w:t>
      </w:r>
    </w:p>
    <w:p w14:paraId="5BE3A377">
      <w:pPr>
        <w:widowControl/>
        <w:spacing w:before="75" w:after="75"/>
        <w:jc w:val="left"/>
        <w:rPr>
          <w:rFonts w:ascii="宋体" w:hAnsi="宋体" w:cs="宋体"/>
          <w:color w:val="auto"/>
          <w:kern w:val="0"/>
          <w:sz w:val="24"/>
        </w:rPr>
      </w:pPr>
      <w:r>
        <w:rPr>
          <w:rFonts w:ascii="宋体" w:hAnsi="宋体" w:cs="宋体"/>
          <w:b/>
          <w:bCs/>
          <w:color w:val="auto"/>
          <w:kern w:val="0"/>
          <w:sz w:val="24"/>
        </w:rPr>
        <w:t> </w:t>
      </w:r>
    </w:p>
    <w:p w14:paraId="769E119E">
      <w:pPr>
        <w:widowControl/>
        <w:spacing w:before="75" w:after="75"/>
        <w:jc w:val="left"/>
        <w:rPr>
          <w:rFonts w:ascii="宋体" w:hAnsi="宋体" w:cs="宋体"/>
          <w:color w:val="auto"/>
          <w:kern w:val="0"/>
          <w:sz w:val="24"/>
        </w:rPr>
      </w:pPr>
      <w:r>
        <w:rPr>
          <w:rFonts w:ascii="宋体" w:hAnsi="宋体" w:cs="宋体"/>
          <w:b/>
          <w:bCs/>
          <w:color w:val="auto"/>
          <w:kern w:val="0"/>
          <w:sz w:val="24"/>
        </w:rPr>
        <w:t> </w:t>
      </w:r>
    </w:p>
    <w:p w14:paraId="74F33AFC">
      <w:pPr>
        <w:widowControl/>
        <w:spacing w:before="75" w:after="75"/>
        <w:jc w:val="left"/>
        <w:rPr>
          <w:rFonts w:ascii="宋体" w:hAnsi="宋体" w:cs="宋体"/>
          <w:color w:val="auto"/>
          <w:kern w:val="0"/>
          <w:sz w:val="24"/>
        </w:rPr>
      </w:pPr>
      <w:r>
        <w:rPr>
          <w:rFonts w:ascii="宋体" w:hAnsi="宋体" w:cs="宋体"/>
          <w:b/>
          <w:bCs/>
          <w:color w:val="auto"/>
          <w:kern w:val="0"/>
          <w:sz w:val="24"/>
        </w:rPr>
        <w:t> </w:t>
      </w:r>
    </w:p>
    <w:p w14:paraId="0A609531">
      <w:pPr>
        <w:widowControl/>
        <w:spacing w:before="75" w:after="75"/>
        <w:jc w:val="center"/>
        <w:rPr>
          <w:rFonts w:ascii="宋体" w:hAnsi="宋体" w:cs="宋体"/>
          <w:color w:val="auto"/>
          <w:kern w:val="0"/>
          <w:sz w:val="24"/>
        </w:rPr>
      </w:pPr>
    </w:p>
    <w:p w14:paraId="1DF582C5">
      <w:pPr>
        <w:widowControl/>
        <w:spacing w:before="75" w:after="75"/>
        <w:jc w:val="center"/>
        <w:rPr>
          <w:rFonts w:ascii="宋体" w:hAnsi="宋体" w:cs="宋体"/>
          <w:color w:val="auto"/>
          <w:kern w:val="0"/>
          <w:sz w:val="24"/>
        </w:rPr>
      </w:pPr>
    </w:p>
    <w:p w14:paraId="4362BDBA">
      <w:pPr>
        <w:widowControl/>
        <w:spacing w:before="75" w:after="75"/>
        <w:jc w:val="center"/>
        <w:rPr>
          <w:rFonts w:ascii="宋体" w:hAnsi="宋体" w:cs="宋体"/>
          <w:color w:val="auto"/>
          <w:kern w:val="0"/>
          <w:sz w:val="24"/>
        </w:rPr>
      </w:pPr>
    </w:p>
    <w:p w14:paraId="5B9A7FCD">
      <w:pPr>
        <w:widowControl/>
        <w:spacing w:before="75" w:after="75"/>
        <w:jc w:val="center"/>
        <w:rPr>
          <w:rFonts w:ascii="宋体" w:hAnsi="宋体" w:cs="宋体"/>
          <w:color w:val="auto"/>
          <w:kern w:val="0"/>
          <w:sz w:val="24"/>
        </w:rPr>
      </w:pPr>
    </w:p>
    <w:p w14:paraId="49776B02">
      <w:pPr>
        <w:widowControl/>
        <w:spacing w:before="75" w:after="75"/>
        <w:jc w:val="center"/>
        <w:rPr>
          <w:rFonts w:ascii="宋体" w:hAnsi="宋体" w:cs="宋体"/>
          <w:color w:val="auto"/>
          <w:kern w:val="0"/>
          <w:sz w:val="24"/>
        </w:rPr>
      </w:pPr>
    </w:p>
    <w:p w14:paraId="54D1F121">
      <w:pPr>
        <w:widowControl/>
        <w:spacing w:before="75" w:after="75"/>
        <w:jc w:val="center"/>
        <w:rPr>
          <w:rFonts w:ascii="宋体" w:hAnsi="宋体" w:cs="宋体"/>
          <w:color w:val="auto"/>
          <w:kern w:val="0"/>
          <w:sz w:val="24"/>
        </w:rPr>
      </w:pPr>
    </w:p>
    <w:p w14:paraId="43502075">
      <w:pPr>
        <w:widowControl/>
        <w:spacing w:before="75" w:after="75"/>
        <w:jc w:val="center"/>
        <w:rPr>
          <w:rFonts w:ascii="宋体" w:hAnsi="宋体" w:cs="宋体"/>
          <w:color w:val="auto"/>
          <w:kern w:val="0"/>
          <w:sz w:val="24"/>
        </w:rPr>
      </w:pPr>
    </w:p>
    <w:p w14:paraId="04D7E030">
      <w:pPr>
        <w:widowControl/>
        <w:spacing w:before="75" w:after="75"/>
        <w:jc w:val="center"/>
        <w:rPr>
          <w:rFonts w:ascii="宋体" w:hAnsi="宋体" w:cs="宋体"/>
          <w:color w:val="auto"/>
          <w:kern w:val="0"/>
          <w:sz w:val="24"/>
        </w:rPr>
      </w:pPr>
    </w:p>
    <w:p w14:paraId="343F39BA">
      <w:pPr>
        <w:widowControl/>
        <w:spacing w:before="75" w:after="75"/>
        <w:jc w:val="center"/>
        <w:rPr>
          <w:rFonts w:ascii="宋体" w:hAnsi="宋体" w:cs="宋体"/>
          <w:color w:val="auto"/>
          <w:kern w:val="0"/>
          <w:sz w:val="24"/>
        </w:rPr>
      </w:pPr>
    </w:p>
    <w:p w14:paraId="10DE52CD">
      <w:pPr>
        <w:widowControl/>
        <w:spacing w:before="75" w:after="75"/>
        <w:jc w:val="center"/>
        <w:rPr>
          <w:rFonts w:ascii="宋体" w:hAnsi="宋体" w:cs="宋体"/>
          <w:color w:val="auto"/>
          <w:kern w:val="0"/>
          <w:sz w:val="24"/>
        </w:rPr>
      </w:pPr>
    </w:p>
    <w:p w14:paraId="2392F9E7">
      <w:pPr>
        <w:widowControl/>
        <w:spacing w:before="75" w:after="75"/>
        <w:jc w:val="center"/>
        <w:rPr>
          <w:rFonts w:ascii="宋体" w:hAnsi="宋体" w:cs="宋体"/>
          <w:color w:val="auto"/>
          <w:kern w:val="0"/>
          <w:sz w:val="24"/>
        </w:rPr>
      </w:pPr>
    </w:p>
    <w:p w14:paraId="05EB11EC">
      <w:pPr>
        <w:widowControl/>
        <w:spacing w:before="75" w:after="75"/>
        <w:jc w:val="center"/>
        <w:rPr>
          <w:rFonts w:ascii="宋体" w:hAnsi="宋体" w:cs="宋体"/>
          <w:color w:val="auto"/>
          <w:kern w:val="0"/>
          <w:sz w:val="24"/>
        </w:rPr>
      </w:pPr>
    </w:p>
    <w:p w14:paraId="3D7F0476">
      <w:pPr>
        <w:widowControl/>
        <w:spacing w:before="75" w:after="75"/>
        <w:jc w:val="center"/>
        <w:rPr>
          <w:rFonts w:ascii="宋体" w:hAnsi="宋体" w:cs="宋体"/>
          <w:color w:val="auto"/>
          <w:kern w:val="0"/>
          <w:sz w:val="24"/>
        </w:rPr>
      </w:pPr>
    </w:p>
    <w:p w14:paraId="59F5170B">
      <w:pPr>
        <w:widowControl/>
        <w:spacing w:before="75" w:after="75"/>
        <w:jc w:val="center"/>
        <w:rPr>
          <w:rFonts w:ascii="宋体" w:hAnsi="宋体" w:cs="宋体"/>
          <w:color w:val="auto"/>
          <w:kern w:val="0"/>
          <w:sz w:val="24"/>
        </w:rPr>
      </w:pPr>
      <w:r>
        <w:rPr>
          <w:rFonts w:ascii="宋体" w:hAnsi="宋体" w:cs="宋体"/>
          <w:color w:val="auto"/>
          <w:kern w:val="0"/>
          <w:sz w:val="24"/>
        </w:rPr>
        <w:t> </w:t>
      </w:r>
    </w:p>
    <w:p w14:paraId="23E0A59C">
      <w:pPr>
        <w:widowControl/>
        <w:spacing w:before="75" w:after="75" w:line="495" w:lineRule="atLeast"/>
        <w:jc w:val="left"/>
        <w:rPr>
          <w:rFonts w:ascii="宋体" w:hAnsi="宋体" w:cs="宋体"/>
          <w:color w:val="auto"/>
          <w:kern w:val="0"/>
          <w:sz w:val="24"/>
        </w:rPr>
      </w:pPr>
      <w:r>
        <w:rPr>
          <w:rFonts w:ascii="宋体" w:hAnsi="宋体" w:cs="宋体"/>
          <w:color w:val="auto"/>
          <w:kern w:val="0"/>
          <w:sz w:val="24"/>
        </w:rPr>
        <w:t> </w:t>
      </w:r>
    </w:p>
    <w:p w14:paraId="027F6443">
      <w:pPr>
        <w:widowControl/>
        <w:spacing w:before="75" w:after="75" w:line="495" w:lineRule="atLeast"/>
        <w:jc w:val="left"/>
        <w:rPr>
          <w:rFonts w:ascii="宋体" w:hAnsi="宋体" w:cs="宋体"/>
          <w:color w:val="auto"/>
          <w:kern w:val="0"/>
          <w:sz w:val="24"/>
        </w:rPr>
      </w:pPr>
      <w:r>
        <w:rPr>
          <w:rFonts w:ascii="宋体" w:hAnsi="宋体" w:cs="宋体"/>
          <w:color w:val="auto"/>
          <w:kern w:val="0"/>
          <w:sz w:val="24"/>
        </w:rPr>
        <w:t> </w:t>
      </w:r>
    </w:p>
    <w:p w14:paraId="42AEACA4">
      <w:pPr>
        <w:widowControl/>
        <w:spacing w:before="75" w:after="75"/>
        <w:jc w:val="center"/>
        <w:rPr>
          <w:rFonts w:ascii="宋体" w:hAnsi="宋体" w:cs="宋体"/>
          <w:b/>
          <w:bCs/>
          <w:color w:val="auto"/>
          <w:kern w:val="0"/>
          <w:sz w:val="32"/>
          <w:szCs w:val="32"/>
        </w:rPr>
      </w:pPr>
    </w:p>
    <w:p w14:paraId="0D172206">
      <w:pPr>
        <w:widowControl/>
        <w:spacing w:before="75" w:after="75"/>
        <w:jc w:val="center"/>
        <w:rPr>
          <w:rFonts w:ascii="宋体" w:hAnsi="宋体" w:cs="宋体"/>
          <w:b/>
          <w:bCs/>
          <w:color w:val="auto"/>
          <w:kern w:val="0"/>
          <w:sz w:val="32"/>
          <w:szCs w:val="32"/>
        </w:rPr>
      </w:pPr>
    </w:p>
    <w:p w14:paraId="64AE18A5">
      <w:pPr>
        <w:widowControl/>
        <w:spacing w:before="75" w:after="75"/>
        <w:jc w:val="center"/>
        <w:rPr>
          <w:rFonts w:ascii="宋体" w:hAnsi="宋体" w:cs="宋体"/>
          <w:color w:val="auto"/>
          <w:kern w:val="0"/>
          <w:sz w:val="32"/>
          <w:szCs w:val="32"/>
        </w:rPr>
      </w:pPr>
      <w:r>
        <w:rPr>
          <w:rFonts w:ascii="宋体" w:hAnsi="宋体" w:cs="宋体"/>
          <w:b/>
          <w:bCs/>
          <w:color w:val="auto"/>
          <w:kern w:val="0"/>
          <w:sz w:val="32"/>
          <w:szCs w:val="32"/>
        </w:rPr>
        <w:t>竞争性谈判</w:t>
      </w:r>
    </w:p>
    <w:p w14:paraId="5919F818">
      <w:pPr>
        <w:widowControl/>
        <w:spacing w:before="75" w:after="75"/>
        <w:jc w:val="center"/>
        <w:rPr>
          <w:rFonts w:ascii="宋体" w:hAnsi="宋体" w:cs="宋体"/>
          <w:color w:val="auto"/>
          <w:kern w:val="0"/>
          <w:sz w:val="24"/>
        </w:rPr>
      </w:pPr>
      <w:r>
        <w:rPr>
          <w:rFonts w:ascii="宋体" w:hAnsi="宋体" w:cs="宋体"/>
          <w:b/>
          <w:bCs/>
          <w:color w:val="auto"/>
          <w:kern w:val="0"/>
          <w:sz w:val="24"/>
        </w:rPr>
        <w:t> </w:t>
      </w:r>
    </w:p>
    <w:p w14:paraId="7A562798">
      <w:pPr>
        <w:widowControl/>
        <w:spacing w:before="75" w:after="75"/>
        <w:jc w:val="center"/>
        <w:rPr>
          <w:rFonts w:ascii="宋体" w:hAnsi="宋体" w:cs="宋体"/>
          <w:color w:val="auto"/>
          <w:kern w:val="0"/>
          <w:sz w:val="24"/>
        </w:rPr>
      </w:pPr>
      <w:r>
        <w:rPr>
          <w:rFonts w:ascii="宋体" w:hAnsi="宋体" w:cs="宋体"/>
          <w:b/>
          <w:bCs/>
          <w:color w:val="auto"/>
          <w:kern w:val="0"/>
          <w:sz w:val="24"/>
        </w:rPr>
        <w:t>响应文件</w:t>
      </w:r>
    </w:p>
    <w:p w14:paraId="5B921BE1">
      <w:pPr>
        <w:widowControl/>
        <w:spacing w:before="75" w:after="75"/>
        <w:jc w:val="center"/>
        <w:rPr>
          <w:rFonts w:ascii="宋体" w:hAnsi="宋体" w:cs="宋体"/>
          <w:color w:val="auto"/>
          <w:kern w:val="0"/>
          <w:sz w:val="24"/>
        </w:rPr>
      </w:pPr>
      <w:r>
        <w:rPr>
          <w:rFonts w:ascii="宋体" w:hAnsi="宋体" w:cs="宋体"/>
          <w:b/>
          <w:bCs/>
          <w:color w:val="auto"/>
          <w:kern w:val="0"/>
          <w:sz w:val="24"/>
        </w:rPr>
        <w:t>（首次）</w:t>
      </w:r>
    </w:p>
    <w:p w14:paraId="4C590D97">
      <w:pPr>
        <w:widowControl/>
        <w:spacing w:before="75" w:after="75"/>
        <w:jc w:val="center"/>
        <w:rPr>
          <w:rFonts w:ascii="宋体" w:hAnsi="宋体" w:cs="宋体"/>
          <w:color w:val="auto"/>
          <w:kern w:val="0"/>
          <w:sz w:val="24"/>
        </w:rPr>
      </w:pPr>
      <w:r>
        <w:rPr>
          <w:rFonts w:ascii="宋体" w:hAnsi="宋体" w:cs="宋体"/>
          <w:color w:val="auto"/>
          <w:kern w:val="0"/>
          <w:sz w:val="24"/>
        </w:rPr>
        <w:t> </w:t>
      </w:r>
    </w:p>
    <w:p w14:paraId="6A5C9015">
      <w:pPr>
        <w:widowControl/>
        <w:spacing w:before="75" w:after="75"/>
        <w:ind w:firstLine="1260"/>
        <w:jc w:val="left"/>
        <w:rPr>
          <w:rFonts w:ascii="宋体" w:hAnsi="宋体" w:cs="宋体"/>
          <w:color w:val="auto"/>
          <w:kern w:val="0"/>
          <w:sz w:val="24"/>
        </w:rPr>
      </w:pPr>
      <w:r>
        <w:rPr>
          <w:rFonts w:ascii="宋体" w:hAnsi="宋体" w:cs="宋体"/>
          <w:b/>
          <w:bCs/>
          <w:color w:val="auto"/>
          <w:kern w:val="0"/>
          <w:sz w:val="24"/>
        </w:rPr>
        <w:t>项目名称：               </w:t>
      </w:r>
    </w:p>
    <w:p w14:paraId="67639F27">
      <w:pPr>
        <w:widowControl/>
        <w:spacing w:before="75" w:after="75"/>
        <w:ind w:firstLine="1260"/>
        <w:jc w:val="left"/>
        <w:rPr>
          <w:rFonts w:ascii="宋体" w:hAnsi="宋体" w:cs="宋体"/>
          <w:color w:val="auto"/>
          <w:kern w:val="0"/>
          <w:sz w:val="24"/>
        </w:rPr>
      </w:pPr>
      <w:r>
        <w:rPr>
          <w:rFonts w:ascii="宋体" w:hAnsi="宋体" w:cs="宋体"/>
          <w:b/>
          <w:bCs/>
          <w:color w:val="auto"/>
          <w:kern w:val="0"/>
          <w:sz w:val="24"/>
        </w:rPr>
        <w:t>项目编号：               </w:t>
      </w:r>
    </w:p>
    <w:p w14:paraId="183B4242">
      <w:pPr>
        <w:widowControl/>
        <w:spacing w:before="75" w:after="75"/>
        <w:ind w:firstLine="1260"/>
        <w:jc w:val="left"/>
        <w:rPr>
          <w:rFonts w:ascii="宋体" w:hAnsi="宋体" w:cs="宋体"/>
          <w:color w:val="auto"/>
          <w:kern w:val="0"/>
          <w:sz w:val="24"/>
        </w:rPr>
      </w:pPr>
      <w:r>
        <w:rPr>
          <w:rFonts w:ascii="宋体" w:hAnsi="宋体" w:cs="宋体"/>
          <w:b/>
          <w:bCs/>
          <w:color w:val="auto"/>
          <w:kern w:val="0"/>
          <w:sz w:val="24"/>
        </w:rPr>
        <w:t>合同包:                  </w:t>
      </w:r>
    </w:p>
    <w:p w14:paraId="17B27222">
      <w:pPr>
        <w:widowControl/>
        <w:spacing w:before="75" w:after="75"/>
        <w:jc w:val="center"/>
        <w:rPr>
          <w:rFonts w:ascii="宋体" w:hAnsi="宋体" w:cs="宋体"/>
          <w:color w:val="auto"/>
          <w:kern w:val="0"/>
          <w:sz w:val="24"/>
        </w:rPr>
      </w:pPr>
      <w:r>
        <w:rPr>
          <w:rFonts w:ascii="宋体" w:hAnsi="宋体" w:cs="宋体"/>
          <w:b/>
          <w:bCs/>
          <w:color w:val="auto"/>
          <w:kern w:val="0"/>
          <w:sz w:val="24"/>
        </w:rPr>
        <w:t> </w:t>
      </w:r>
    </w:p>
    <w:p w14:paraId="32E86F06">
      <w:pPr>
        <w:widowControl/>
        <w:spacing w:before="75" w:after="75"/>
        <w:jc w:val="center"/>
        <w:rPr>
          <w:rFonts w:ascii="宋体" w:hAnsi="宋体" w:cs="宋体"/>
          <w:color w:val="auto"/>
          <w:kern w:val="0"/>
          <w:sz w:val="24"/>
        </w:rPr>
      </w:pPr>
      <w:r>
        <w:rPr>
          <w:rFonts w:ascii="宋体" w:hAnsi="宋体" w:cs="宋体"/>
          <w:b/>
          <w:bCs/>
          <w:color w:val="auto"/>
          <w:kern w:val="0"/>
          <w:sz w:val="24"/>
        </w:rPr>
        <w:t> </w:t>
      </w:r>
    </w:p>
    <w:p w14:paraId="2EA2A7D6">
      <w:pPr>
        <w:widowControl/>
        <w:spacing w:before="75" w:after="75"/>
        <w:jc w:val="center"/>
        <w:rPr>
          <w:rFonts w:ascii="宋体" w:hAnsi="宋体" w:cs="宋体"/>
          <w:color w:val="auto"/>
          <w:kern w:val="0"/>
          <w:sz w:val="24"/>
        </w:rPr>
      </w:pPr>
      <w:r>
        <w:rPr>
          <w:rFonts w:ascii="宋体" w:hAnsi="宋体" w:cs="宋体"/>
          <w:b/>
          <w:bCs/>
          <w:color w:val="auto"/>
          <w:kern w:val="0"/>
          <w:sz w:val="24"/>
        </w:rPr>
        <w:t> </w:t>
      </w:r>
    </w:p>
    <w:p w14:paraId="25F7EC51">
      <w:pPr>
        <w:widowControl/>
        <w:spacing w:before="75" w:after="75"/>
        <w:jc w:val="left"/>
        <w:rPr>
          <w:rFonts w:ascii="宋体" w:hAnsi="宋体" w:cs="宋体"/>
          <w:color w:val="auto"/>
          <w:kern w:val="0"/>
          <w:sz w:val="24"/>
        </w:rPr>
      </w:pPr>
      <w:r>
        <w:rPr>
          <w:rFonts w:ascii="宋体" w:hAnsi="宋体" w:cs="宋体"/>
          <w:b/>
          <w:bCs/>
          <w:color w:val="auto"/>
          <w:kern w:val="0"/>
          <w:sz w:val="24"/>
        </w:rPr>
        <w:t> </w:t>
      </w:r>
    </w:p>
    <w:p w14:paraId="05449470">
      <w:pPr>
        <w:widowControl/>
        <w:spacing w:before="75" w:after="75"/>
        <w:jc w:val="left"/>
        <w:rPr>
          <w:rFonts w:ascii="宋体" w:hAnsi="宋体" w:cs="宋体"/>
          <w:color w:val="auto"/>
          <w:kern w:val="0"/>
          <w:sz w:val="24"/>
        </w:rPr>
      </w:pPr>
      <w:r>
        <w:rPr>
          <w:rFonts w:ascii="宋体" w:hAnsi="宋体" w:cs="宋体"/>
          <w:b/>
          <w:bCs/>
          <w:color w:val="auto"/>
          <w:kern w:val="0"/>
          <w:sz w:val="24"/>
        </w:rPr>
        <w:t> </w:t>
      </w:r>
    </w:p>
    <w:p w14:paraId="5FA2D3DB">
      <w:pPr>
        <w:widowControl/>
        <w:spacing w:before="75" w:after="75"/>
        <w:jc w:val="left"/>
        <w:rPr>
          <w:rFonts w:ascii="宋体" w:hAnsi="宋体" w:cs="宋体"/>
          <w:color w:val="auto"/>
          <w:kern w:val="0"/>
          <w:sz w:val="24"/>
        </w:rPr>
      </w:pPr>
      <w:r>
        <w:rPr>
          <w:rFonts w:ascii="宋体" w:hAnsi="宋体" w:cs="宋体"/>
          <w:b/>
          <w:bCs/>
          <w:color w:val="auto"/>
          <w:kern w:val="0"/>
          <w:sz w:val="24"/>
        </w:rPr>
        <w:t> </w:t>
      </w:r>
    </w:p>
    <w:p w14:paraId="21EAD999">
      <w:pPr>
        <w:widowControl/>
        <w:spacing w:before="75" w:after="75"/>
        <w:jc w:val="left"/>
        <w:rPr>
          <w:rFonts w:ascii="宋体" w:hAnsi="宋体" w:cs="宋体"/>
          <w:color w:val="auto"/>
          <w:kern w:val="0"/>
          <w:sz w:val="24"/>
        </w:rPr>
      </w:pPr>
      <w:r>
        <w:rPr>
          <w:rFonts w:ascii="宋体" w:hAnsi="宋体" w:cs="宋体"/>
          <w:b/>
          <w:bCs/>
          <w:color w:val="auto"/>
          <w:kern w:val="0"/>
          <w:sz w:val="24"/>
        </w:rPr>
        <w:t>      供应商名称 ：               </w:t>
      </w:r>
    </w:p>
    <w:p w14:paraId="1F5AB104">
      <w:pPr>
        <w:widowControl/>
        <w:spacing w:before="75" w:after="75"/>
        <w:jc w:val="left"/>
        <w:rPr>
          <w:rFonts w:ascii="宋体" w:hAnsi="宋体" w:cs="宋体"/>
          <w:color w:val="auto"/>
          <w:kern w:val="0"/>
          <w:sz w:val="24"/>
        </w:rPr>
      </w:pPr>
      <w:r>
        <w:rPr>
          <w:rFonts w:ascii="宋体" w:hAnsi="宋体" w:cs="宋体"/>
          <w:b/>
          <w:bCs/>
          <w:color w:val="auto"/>
          <w:kern w:val="0"/>
          <w:sz w:val="24"/>
        </w:rPr>
        <w:t>      日    期 ：               </w:t>
      </w:r>
    </w:p>
    <w:p w14:paraId="721C7797">
      <w:pPr>
        <w:widowControl/>
        <w:spacing w:before="75" w:after="75"/>
        <w:jc w:val="center"/>
        <w:rPr>
          <w:rFonts w:ascii="宋体" w:hAnsi="宋体" w:cs="宋体"/>
          <w:color w:val="auto"/>
          <w:kern w:val="0"/>
          <w:sz w:val="24"/>
        </w:rPr>
      </w:pPr>
    </w:p>
    <w:p w14:paraId="11067F2D">
      <w:pPr>
        <w:widowControl/>
        <w:spacing w:before="75" w:after="75"/>
        <w:jc w:val="center"/>
        <w:rPr>
          <w:rFonts w:ascii="宋体" w:hAnsi="宋体" w:cs="宋体"/>
          <w:color w:val="auto"/>
          <w:kern w:val="0"/>
          <w:sz w:val="24"/>
        </w:rPr>
      </w:pPr>
    </w:p>
    <w:p w14:paraId="63DB8773">
      <w:pPr>
        <w:widowControl/>
        <w:spacing w:before="75" w:after="75"/>
        <w:jc w:val="center"/>
        <w:rPr>
          <w:rFonts w:ascii="宋体" w:hAnsi="宋体" w:cs="宋体"/>
          <w:color w:val="auto"/>
          <w:kern w:val="0"/>
          <w:sz w:val="24"/>
        </w:rPr>
      </w:pPr>
    </w:p>
    <w:p w14:paraId="3BB53978">
      <w:pPr>
        <w:widowControl/>
        <w:spacing w:before="75" w:after="75"/>
        <w:jc w:val="center"/>
        <w:rPr>
          <w:rFonts w:ascii="宋体" w:hAnsi="宋体" w:cs="宋体"/>
          <w:color w:val="auto"/>
          <w:kern w:val="0"/>
          <w:sz w:val="24"/>
        </w:rPr>
      </w:pPr>
    </w:p>
    <w:p w14:paraId="6E87E45E">
      <w:pPr>
        <w:widowControl/>
        <w:spacing w:before="75" w:after="75"/>
        <w:jc w:val="center"/>
        <w:rPr>
          <w:rFonts w:ascii="宋体" w:hAnsi="宋体" w:cs="宋体"/>
          <w:color w:val="auto"/>
          <w:kern w:val="0"/>
          <w:sz w:val="24"/>
        </w:rPr>
      </w:pPr>
    </w:p>
    <w:p w14:paraId="7600F091">
      <w:pPr>
        <w:widowControl/>
        <w:spacing w:before="75" w:after="75"/>
        <w:jc w:val="center"/>
        <w:rPr>
          <w:rFonts w:ascii="宋体" w:hAnsi="宋体" w:cs="宋体"/>
          <w:color w:val="auto"/>
          <w:kern w:val="0"/>
          <w:sz w:val="24"/>
        </w:rPr>
      </w:pPr>
    </w:p>
    <w:p w14:paraId="584C6721">
      <w:pPr>
        <w:widowControl/>
        <w:spacing w:before="75" w:after="75"/>
        <w:jc w:val="center"/>
        <w:rPr>
          <w:rFonts w:ascii="宋体" w:hAnsi="宋体" w:cs="宋体"/>
          <w:color w:val="auto"/>
          <w:kern w:val="0"/>
          <w:sz w:val="24"/>
        </w:rPr>
      </w:pPr>
    </w:p>
    <w:p w14:paraId="56DF211E">
      <w:pPr>
        <w:widowControl/>
        <w:spacing w:before="75" w:after="75"/>
        <w:jc w:val="center"/>
        <w:rPr>
          <w:rFonts w:ascii="宋体" w:hAnsi="宋体" w:cs="宋体"/>
          <w:color w:val="auto"/>
          <w:kern w:val="0"/>
          <w:sz w:val="24"/>
        </w:rPr>
      </w:pPr>
    </w:p>
    <w:p w14:paraId="02051713">
      <w:pPr>
        <w:widowControl/>
        <w:spacing w:before="75" w:after="75"/>
        <w:jc w:val="center"/>
        <w:rPr>
          <w:rFonts w:ascii="宋体" w:hAnsi="宋体" w:cs="宋体"/>
          <w:color w:val="auto"/>
          <w:kern w:val="0"/>
          <w:sz w:val="24"/>
        </w:rPr>
      </w:pPr>
    </w:p>
    <w:p w14:paraId="4AC5C6F1">
      <w:pPr>
        <w:widowControl/>
        <w:spacing w:before="75" w:after="75"/>
        <w:jc w:val="center"/>
        <w:rPr>
          <w:rFonts w:ascii="宋体" w:hAnsi="宋体" w:cs="宋体"/>
          <w:color w:val="auto"/>
          <w:kern w:val="0"/>
          <w:sz w:val="24"/>
        </w:rPr>
      </w:pPr>
    </w:p>
    <w:p w14:paraId="086EB81A">
      <w:pPr>
        <w:widowControl/>
        <w:spacing w:before="75" w:after="75"/>
        <w:jc w:val="center"/>
        <w:rPr>
          <w:rFonts w:ascii="宋体" w:hAnsi="宋体" w:cs="宋体"/>
          <w:color w:val="auto"/>
          <w:kern w:val="0"/>
          <w:sz w:val="24"/>
        </w:rPr>
      </w:pPr>
    </w:p>
    <w:p w14:paraId="20BE4236">
      <w:pPr>
        <w:widowControl/>
        <w:spacing w:before="75" w:after="75"/>
        <w:jc w:val="center"/>
        <w:rPr>
          <w:rFonts w:ascii="宋体" w:hAnsi="宋体" w:cs="宋体"/>
          <w:color w:val="auto"/>
          <w:kern w:val="0"/>
          <w:sz w:val="24"/>
        </w:rPr>
      </w:pPr>
    </w:p>
    <w:p w14:paraId="1FCB21BF">
      <w:pPr>
        <w:widowControl/>
        <w:spacing w:before="75" w:after="75"/>
        <w:jc w:val="center"/>
        <w:rPr>
          <w:rFonts w:ascii="宋体" w:hAnsi="宋体" w:cs="宋体"/>
          <w:color w:val="auto"/>
          <w:kern w:val="0"/>
          <w:sz w:val="24"/>
        </w:rPr>
      </w:pPr>
    </w:p>
    <w:p w14:paraId="45775F7E">
      <w:pPr>
        <w:widowControl/>
        <w:spacing w:before="75" w:after="75"/>
        <w:jc w:val="center"/>
        <w:rPr>
          <w:rFonts w:ascii="宋体" w:hAnsi="宋体" w:cs="宋体"/>
          <w:color w:val="auto"/>
          <w:kern w:val="0"/>
          <w:sz w:val="24"/>
        </w:rPr>
      </w:pPr>
    </w:p>
    <w:p w14:paraId="0B4B7E98">
      <w:pPr>
        <w:widowControl/>
        <w:spacing w:before="75" w:after="75"/>
        <w:jc w:val="center"/>
        <w:rPr>
          <w:rFonts w:ascii="宋体" w:hAnsi="宋体" w:cs="宋体"/>
          <w:color w:val="auto"/>
          <w:kern w:val="0"/>
          <w:sz w:val="24"/>
        </w:rPr>
      </w:pPr>
    </w:p>
    <w:p w14:paraId="36C35EDD">
      <w:pPr>
        <w:widowControl/>
        <w:spacing w:before="75" w:after="75"/>
        <w:jc w:val="center"/>
        <w:rPr>
          <w:rFonts w:ascii="宋体" w:hAnsi="宋体" w:cs="宋体"/>
          <w:color w:val="auto"/>
          <w:kern w:val="0"/>
          <w:sz w:val="24"/>
        </w:rPr>
      </w:pPr>
      <w:r>
        <w:rPr>
          <w:rFonts w:ascii="宋体" w:hAnsi="宋体" w:cs="宋体"/>
          <w:color w:val="auto"/>
          <w:kern w:val="0"/>
          <w:sz w:val="24"/>
        </w:rPr>
        <w:t> </w:t>
      </w:r>
    </w:p>
    <w:p w14:paraId="04DD131B">
      <w:pPr>
        <w:widowControl/>
        <w:spacing w:before="75" w:after="75"/>
        <w:jc w:val="center"/>
        <w:rPr>
          <w:rFonts w:ascii="宋体" w:hAnsi="宋体" w:cs="宋体"/>
          <w:color w:val="auto"/>
          <w:kern w:val="0"/>
          <w:sz w:val="24"/>
        </w:rPr>
      </w:pPr>
    </w:p>
    <w:p w14:paraId="371F8139">
      <w:pPr>
        <w:widowControl/>
        <w:spacing w:before="75" w:after="75"/>
        <w:jc w:val="center"/>
        <w:rPr>
          <w:rFonts w:ascii="宋体" w:hAnsi="宋体" w:cs="宋体"/>
          <w:color w:val="auto"/>
          <w:kern w:val="0"/>
          <w:sz w:val="24"/>
        </w:rPr>
      </w:pPr>
    </w:p>
    <w:p w14:paraId="5A302E69">
      <w:pPr>
        <w:widowControl/>
        <w:spacing w:before="75" w:after="75"/>
        <w:jc w:val="center"/>
        <w:rPr>
          <w:rFonts w:ascii="宋体" w:hAnsi="宋体" w:cs="宋体"/>
          <w:color w:val="auto"/>
          <w:kern w:val="0"/>
          <w:sz w:val="32"/>
          <w:szCs w:val="32"/>
        </w:rPr>
      </w:pPr>
      <w:r>
        <w:rPr>
          <w:rFonts w:ascii="宋体" w:hAnsi="宋体" w:cs="宋体"/>
          <w:b/>
          <w:bCs/>
          <w:color w:val="auto"/>
          <w:kern w:val="0"/>
          <w:sz w:val="32"/>
          <w:szCs w:val="32"/>
        </w:rPr>
        <w:br w:type="textWrapping"/>
      </w:r>
      <w:r>
        <w:rPr>
          <w:rFonts w:ascii="宋体" w:hAnsi="宋体" w:cs="宋体"/>
          <w:b/>
          <w:bCs/>
          <w:color w:val="auto"/>
          <w:kern w:val="0"/>
          <w:sz w:val="32"/>
          <w:szCs w:val="32"/>
        </w:rPr>
        <w:t>目  录</w:t>
      </w:r>
    </w:p>
    <w:p w14:paraId="7C8F16D4">
      <w:pPr>
        <w:widowControl/>
        <w:spacing w:before="75" w:after="75" w:line="465" w:lineRule="atLeast"/>
        <w:jc w:val="left"/>
        <w:rPr>
          <w:rFonts w:ascii="宋体" w:hAnsi="宋体" w:cs="宋体"/>
          <w:color w:val="auto"/>
          <w:kern w:val="0"/>
          <w:sz w:val="24"/>
        </w:rPr>
      </w:pPr>
      <w:r>
        <w:rPr>
          <w:rFonts w:ascii="宋体" w:hAnsi="宋体" w:cs="宋体"/>
          <w:b/>
          <w:bCs/>
          <w:color w:val="auto"/>
          <w:kern w:val="0"/>
          <w:sz w:val="24"/>
        </w:rPr>
        <w:t> </w:t>
      </w:r>
    </w:p>
    <w:p w14:paraId="70D40BBE">
      <w:pPr>
        <w:widowControl/>
        <w:spacing w:before="75" w:after="75" w:line="465" w:lineRule="atLeast"/>
        <w:jc w:val="left"/>
        <w:rPr>
          <w:rFonts w:ascii="宋体" w:hAnsi="宋体" w:cs="宋体"/>
          <w:color w:val="auto"/>
          <w:kern w:val="0"/>
          <w:sz w:val="24"/>
        </w:rPr>
      </w:pPr>
      <w:r>
        <w:rPr>
          <w:rFonts w:ascii="宋体" w:hAnsi="宋体" w:cs="宋体"/>
          <w:color w:val="auto"/>
          <w:kern w:val="0"/>
          <w:sz w:val="24"/>
        </w:rPr>
        <w:t>附件1：谈判响应声明</w:t>
      </w:r>
    </w:p>
    <w:p w14:paraId="02075492">
      <w:pPr>
        <w:widowControl/>
        <w:spacing w:before="75" w:after="75" w:line="465" w:lineRule="atLeast"/>
        <w:jc w:val="left"/>
        <w:rPr>
          <w:rFonts w:ascii="宋体" w:hAnsi="宋体" w:cs="宋体"/>
          <w:color w:val="auto"/>
          <w:kern w:val="0"/>
          <w:sz w:val="24"/>
        </w:rPr>
      </w:pPr>
      <w:r>
        <w:rPr>
          <w:rFonts w:ascii="宋体" w:hAnsi="宋体" w:cs="宋体"/>
          <w:color w:val="auto"/>
          <w:kern w:val="0"/>
          <w:sz w:val="24"/>
        </w:rPr>
        <w:t>附件2：报价一览表（含详细报价书）</w:t>
      </w:r>
    </w:p>
    <w:p w14:paraId="7615F968">
      <w:pPr>
        <w:widowControl/>
        <w:spacing w:before="75" w:after="75" w:line="465" w:lineRule="atLeast"/>
        <w:jc w:val="left"/>
        <w:rPr>
          <w:rFonts w:ascii="宋体" w:hAnsi="宋体" w:cs="宋体"/>
          <w:color w:val="auto"/>
          <w:kern w:val="0"/>
          <w:sz w:val="24"/>
        </w:rPr>
      </w:pPr>
      <w:r>
        <w:rPr>
          <w:rFonts w:ascii="宋体" w:hAnsi="宋体" w:cs="宋体"/>
          <w:color w:val="auto"/>
          <w:kern w:val="0"/>
          <w:sz w:val="24"/>
        </w:rPr>
        <w:t>附件3：资格证明文件</w:t>
      </w:r>
    </w:p>
    <w:p w14:paraId="33AF0796">
      <w:pPr>
        <w:widowControl/>
        <w:spacing w:before="75" w:after="75" w:line="465" w:lineRule="atLeast"/>
        <w:jc w:val="left"/>
        <w:rPr>
          <w:rFonts w:ascii="宋体" w:hAnsi="宋体" w:cs="宋体"/>
          <w:color w:val="auto"/>
          <w:kern w:val="0"/>
          <w:sz w:val="24"/>
        </w:rPr>
      </w:pPr>
      <w:r>
        <w:rPr>
          <w:rFonts w:ascii="宋体" w:hAnsi="宋体" w:cs="宋体"/>
          <w:color w:val="auto"/>
          <w:kern w:val="0"/>
          <w:sz w:val="24"/>
        </w:rPr>
        <w:t>附件4：谈判保证金凭证</w:t>
      </w:r>
    </w:p>
    <w:p w14:paraId="21C628DE">
      <w:pPr>
        <w:widowControl/>
        <w:spacing w:before="75" w:after="75" w:line="465" w:lineRule="atLeast"/>
        <w:jc w:val="left"/>
        <w:rPr>
          <w:rFonts w:ascii="宋体" w:hAnsi="宋体" w:cs="宋体"/>
          <w:color w:val="auto"/>
          <w:kern w:val="0"/>
          <w:sz w:val="24"/>
        </w:rPr>
      </w:pPr>
      <w:r>
        <w:rPr>
          <w:rFonts w:ascii="宋体" w:hAnsi="宋体" w:cs="宋体"/>
          <w:color w:val="auto"/>
          <w:kern w:val="0"/>
          <w:sz w:val="24"/>
        </w:rPr>
        <w:t>附件5：技术、服务和商务响应表</w:t>
      </w:r>
    </w:p>
    <w:p w14:paraId="31CA1019">
      <w:pPr>
        <w:widowControl/>
        <w:spacing w:before="75" w:after="75" w:line="465" w:lineRule="atLeast"/>
        <w:jc w:val="left"/>
        <w:rPr>
          <w:rFonts w:ascii="宋体" w:hAnsi="宋体" w:cs="宋体"/>
          <w:color w:val="auto"/>
          <w:kern w:val="0"/>
          <w:sz w:val="24"/>
        </w:rPr>
      </w:pPr>
      <w:r>
        <w:rPr>
          <w:rFonts w:ascii="宋体" w:hAnsi="宋体" w:cs="宋体"/>
          <w:color w:val="auto"/>
          <w:kern w:val="0"/>
          <w:sz w:val="24"/>
        </w:rPr>
        <w:t>附件6：相关技术、商务、服务响应承诺及资料</w:t>
      </w:r>
    </w:p>
    <w:p w14:paraId="3A1F2BF5">
      <w:pPr>
        <w:widowControl/>
        <w:spacing w:before="75" w:after="75" w:line="465" w:lineRule="atLeast"/>
        <w:jc w:val="left"/>
        <w:rPr>
          <w:rFonts w:ascii="宋体" w:hAnsi="宋体" w:cs="宋体"/>
          <w:color w:val="auto"/>
          <w:kern w:val="0"/>
          <w:sz w:val="24"/>
        </w:rPr>
      </w:pPr>
      <w:r>
        <w:rPr>
          <w:rFonts w:ascii="宋体" w:hAnsi="宋体" w:cs="宋体"/>
          <w:color w:val="auto"/>
          <w:kern w:val="0"/>
          <w:sz w:val="24"/>
        </w:rPr>
        <w:t>附件7：供应商提交符合政府采购政策的证明材料</w:t>
      </w:r>
    </w:p>
    <w:p w14:paraId="0DE110D4">
      <w:pPr>
        <w:widowControl/>
        <w:spacing w:before="75" w:after="75" w:line="465" w:lineRule="atLeast"/>
        <w:jc w:val="left"/>
        <w:rPr>
          <w:rFonts w:ascii="宋体" w:hAnsi="宋体" w:cs="宋体"/>
          <w:color w:val="auto"/>
          <w:kern w:val="0"/>
          <w:sz w:val="24"/>
        </w:rPr>
      </w:pPr>
      <w:r>
        <w:rPr>
          <w:rFonts w:ascii="宋体" w:hAnsi="宋体" w:cs="宋体"/>
          <w:color w:val="auto"/>
          <w:kern w:val="0"/>
          <w:sz w:val="24"/>
        </w:rPr>
        <w:t>附件8：要求作为响应文件组成部分的其他内容（若有）</w:t>
      </w:r>
    </w:p>
    <w:p w14:paraId="145B7474">
      <w:pPr>
        <w:widowControl/>
        <w:spacing w:before="75" w:after="75" w:line="465" w:lineRule="atLeast"/>
        <w:jc w:val="left"/>
        <w:rPr>
          <w:rFonts w:ascii="宋体" w:hAnsi="宋体" w:cs="宋体"/>
          <w:color w:val="auto"/>
          <w:kern w:val="0"/>
          <w:sz w:val="24"/>
        </w:rPr>
      </w:pPr>
      <w:r>
        <w:rPr>
          <w:rFonts w:ascii="宋体" w:hAnsi="宋体" w:cs="宋体"/>
          <w:b/>
          <w:bCs/>
          <w:color w:val="auto"/>
          <w:kern w:val="0"/>
          <w:sz w:val="24"/>
        </w:rPr>
        <w:t> </w:t>
      </w:r>
    </w:p>
    <w:p w14:paraId="2246703C">
      <w:pPr>
        <w:widowControl/>
        <w:spacing w:before="75" w:after="75" w:line="495" w:lineRule="atLeast"/>
        <w:jc w:val="left"/>
        <w:rPr>
          <w:rFonts w:ascii="宋体" w:hAnsi="宋体" w:cs="宋体"/>
          <w:color w:val="auto"/>
          <w:kern w:val="0"/>
          <w:sz w:val="24"/>
        </w:rPr>
      </w:pPr>
      <w:r>
        <w:rPr>
          <w:rFonts w:ascii="宋体" w:hAnsi="宋体" w:cs="宋体"/>
          <w:color w:val="auto"/>
          <w:kern w:val="0"/>
          <w:sz w:val="24"/>
        </w:rPr>
        <w:t> </w:t>
      </w:r>
    </w:p>
    <w:p w14:paraId="6CD7FC31">
      <w:pPr>
        <w:widowControl/>
        <w:spacing w:before="75" w:after="75" w:line="495" w:lineRule="atLeast"/>
        <w:jc w:val="left"/>
        <w:rPr>
          <w:rFonts w:ascii="宋体" w:hAnsi="宋体" w:cs="宋体"/>
          <w:color w:val="auto"/>
          <w:kern w:val="0"/>
          <w:sz w:val="24"/>
        </w:rPr>
      </w:pPr>
      <w:r>
        <w:rPr>
          <w:rFonts w:ascii="宋体" w:hAnsi="宋体" w:cs="宋体"/>
          <w:color w:val="auto"/>
          <w:kern w:val="0"/>
          <w:sz w:val="24"/>
        </w:rPr>
        <w:t> </w:t>
      </w:r>
    </w:p>
    <w:p w14:paraId="67FAC13B">
      <w:pPr>
        <w:widowControl/>
        <w:spacing w:before="75" w:after="75" w:line="495" w:lineRule="atLeast"/>
        <w:jc w:val="left"/>
        <w:rPr>
          <w:rFonts w:ascii="宋体" w:hAnsi="宋体" w:cs="宋体"/>
          <w:color w:val="auto"/>
          <w:kern w:val="0"/>
          <w:sz w:val="24"/>
        </w:rPr>
      </w:pPr>
    </w:p>
    <w:p w14:paraId="610AF530">
      <w:pPr>
        <w:widowControl/>
        <w:spacing w:before="75" w:after="75" w:line="495" w:lineRule="atLeast"/>
        <w:jc w:val="left"/>
        <w:rPr>
          <w:rFonts w:ascii="宋体" w:hAnsi="宋体" w:cs="宋体"/>
          <w:color w:val="auto"/>
          <w:kern w:val="0"/>
          <w:sz w:val="24"/>
        </w:rPr>
      </w:pPr>
    </w:p>
    <w:p w14:paraId="0795E282">
      <w:pPr>
        <w:widowControl/>
        <w:spacing w:before="75" w:after="75" w:line="495" w:lineRule="atLeast"/>
        <w:jc w:val="left"/>
        <w:rPr>
          <w:rFonts w:ascii="宋体" w:hAnsi="宋体" w:cs="宋体"/>
          <w:color w:val="auto"/>
          <w:kern w:val="0"/>
          <w:sz w:val="24"/>
        </w:rPr>
      </w:pPr>
    </w:p>
    <w:p w14:paraId="629F0345">
      <w:pPr>
        <w:widowControl/>
        <w:spacing w:before="75" w:after="75" w:line="495" w:lineRule="atLeast"/>
        <w:jc w:val="left"/>
        <w:rPr>
          <w:rFonts w:ascii="宋体" w:hAnsi="宋体" w:cs="宋体"/>
          <w:color w:val="auto"/>
          <w:kern w:val="0"/>
          <w:sz w:val="24"/>
        </w:rPr>
      </w:pPr>
    </w:p>
    <w:p w14:paraId="470B78E8">
      <w:pPr>
        <w:widowControl/>
        <w:spacing w:before="75" w:after="75" w:line="495" w:lineRule="atLeast"/>
        <w:jc w:val="left"/>
        <w:rPr>
          <w:rFonts w:ascii="宋体" w:hAnsi="宋体" w:cs="宋体"/>
          <w:color w:val="auto"/>
          <w:kern w:val="0"/>
          <w:sz w:val="24"/>
        </w:rPr>
      </w:pPr>
    </w:p>
    <w:p w14:paraId="6AF5F28C">
      <w:pPr>
        <w:widowControl/>
        <w:spacing w:before="75" w:after="75" w:line="495" w:lineRule="atLeast"/>
        <w:jc w:val="left"/>
        <w:rPr>
          <w:rFonts w:ascii="宋体" w:hAnsi="宋体" w:cs="宋体"/>
          <w:color w:val="auto"/>
          <w:kern w:val="0"/>
          <w:sz w:val="24"/>
        </w:rPr>
      </w:pPr>
    </w:p>
    <w:p w14:paraId="1D6C837E">
      <w:pPr>
        <w:widowControl/>
        <w:spacing w:before="75" w:after="75" w:line="495" w:lineRule="atLeast"/>
        <w:jc w:val="left"/>
        <w:rPr>
          <w:rFonts w:ascii="宋体" w:hAnsi="宋体" w:cs="宋体"/>
          <w:color w:val="auto"/>
          <w:kern w:val="0"/>
          <w:sz w:val="24"/>
        </w:rPr>
      </w:pPr>
    </w:p>
    <w:p w14:paraId="627ECF78">
      <w:pPr>
        <w:widowControl/>
        <w:spacing w:before="75" w:after="75"/>
        <w:jc w:val="left"/>
        <w:rPr>
          <w:rFonts w:ascii="宋体" w:hAnsi="宋体" w:cs="宋体"/>
          <w:color w:val="auto"/>
          <w:kern w:val="0"/>
          <w:sz w:val="24"/>
        </w:rPr>
      </w:pPr>
    </w:p>
    <w:p w14:paraId="6E495D4C">
      <w:pPr>
        <w:widowControl/>
        <w:spacing w:before="75" w:after="75"/>
        <w:jc w:val="left"/>
        <w:rPr>
          <w:rFonts w:ascii="宋体" w:hAnsi="宋体" w:cs="宋体"/>
          <w:color w:val="auto"/>
          <w:kern w:val="0"/>
          <w:sz w:val="24"/>
        </w:rPr>
      </w:pPr>
      <w:r>
        <w:rPr>
          <w:rFonts w:ascii="宋体" w:hAnsi="宋体" w:cs="宋体"/>
          <w:b/>
          <w:bCs/>
          <w:color w:val="auto"/>
          <w:kern w:val="0"/>
          <w:sz w:val="24"/>
        </w:rPr>
        <w:br w:type="textWrapping"/>
      </w:r>
      <w:r>
        <w:rPr>
          <w:rFonts w:ascii="宋体" w:hAnsi="宋体" w:cs="宋体"/>
          <w:color w:val="auto"/>
          <w:kern w:val="0"/>
          <w:sz w:val="24"/>
        </w:rPr>
        <w:t>附件1            </w:t>
      </w:r>
      <w:r>
        <w:rPr>
          <w:rFonts w:ascii="宋体" w:hAnsi="宋体" w:cs="宋体"/>
          <w:b/>
          <w:bCs/>
          <w:color w:val="auto"/>
          <w:kern w:val="0"/>
          <w:sz w:val="24"/>
        </w:rPr>
        <w:t>谈判响应声明</w:t>
      </w:r>
    </w:p>
    <w:p w14:paraId="08FC4F85">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w:t>
      </w:r>
    </w:p>
    <w:p w14:paraId="77DBDE5D">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致：(采购人或采购代理机构)       </w:t>
      </w:r>
    </w:p>
    <w:p w14:paraId="09FC2EE3">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1.根据贵方为   项目（项目编号:   ）的采购公告（或采购邀请书），我方签字代表    （全名、职务）   经正式授权并代表的供应商       （供应商名称、地址）提交包含下述内容的首次响应文件纸质文本正本   套，副本  套及电子文档  套。</w:t>
      </w:r>
    </w:p>
    <w:p w14:paraId="561B9691">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（1）谈判响应声明</w:t>
      </w:r>
    </w:p>
    <w:p w14:paraId="1869B694">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（2）报价一览表（含详细报价书）</w:t>
      </w:r>
    </w:p>
    <w:p w14:paraId="0BF4C056">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（3）资格证明文件</w:t>
      </w:r>
    </w:p>
    <w:p w14:paraId="3AA52240">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（4）谈判保证金凭证</w:t>
      </w:r>
    </w:p>
    <w:p w14:paraId="7617399F">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（5）技术、服务和商务响应表</w:t>
      </w:r>
    </w:p>
    <w:p w14:paraId="145FCDDC">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（6）相关技术、商务、服务响应承诺及资料</w:t>
      </w:r>
    </w:p>
    <w:p w14:paraId="1F77FDF3">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（7）供应商提交符合政府采购政策的证明材料</w:t>
      </w:r>
    </w:p>
    <w:p w14:paraId="5BBBB7A6">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（8）按照谈判文件规定，要求作为响应文件组成部分的其他内容（若有）</w:t>
      </w:r>
    </w:p>
    <w:p w14:paraId="6480274B">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2.据此函，我方宣布响应承诺如下：</w:t>
      </w:r>
    </w:p>
    <w:p w14:paraId="0D0CB179">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2.1我方已详细审查全部竞争性谈判文件，包括澄清、修改、补充或更正文件（如有的话）和有关附件，我方完全熟悉和理解其中的要求、条款和条件，且无任何异议。除了我方已在技术和商务偏离表中列出的负偏差和不响应外，我方承诺将按竞争性谈判文件的各项规定履行合同责任和义务。竞争性谈判文件及其附件资料如果有涉及应当保密的内容，我方将严格遵守规定，不将应当保密的内容泄密给第三方或另作它用，如有违反，采购人可依法追究我方的法律责任。</w:t>
      </w:r>
    </w:p>
    <w:p w14:paraId="001C8AA1">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2.2一旦我方获得成交，我方将按照竞争性谈判文件的要求和我方提交的响应文件（包括首次响应文件、补充澄清、最后报价等响应文件）中的承诺，投入项目所需相关资源，并在合同约定的期限内组织有经验的人员做好项目的实施和服务工作。贵方向我方发出成交通知书后，我方承诺遵守国家相关法律和竞争性谈判文件的要求，并在规定的期限内与采购人签订合同。</w:t>
      </w:r>
    </w:p>
    <w:p w14:paraId="1C0ECF5C">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2.3我方承诺：递交的所有响应文件（包括首次响应文件、补充澄清、最后报价等响应文件）在竞争性谈判须知前附表规定的响应文件有效期内始终保持有效，我方将受此约束。我方对响应文件中的所有承诺、声明、数据和资料的真实性、准确性、合法性、有效性负责；我方响应文件中有关复印件或扫描件资料均与原件一致。如有违反，我方将承担法律责任和后果。</w:t>
      </w:r>
    </w:p>
    <w:p w14:paraId="28313703">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2.4我方已经按照谈判文件要求提交谈判保证金。我方如果发生任何竞争性谈判文件中所述不予退还谈判保证金的情况，则我方的谈判保证金将被贵方不予退还，我方对此无异议。</w:t>
      </w:r>
    </w:p>
    <w:p w14:paraId="5260C989">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2.5我方愿意向贵方提供任何与本项目谈判采购有关的数据或资料。若贵方需要，我方愿意提供我方作出的一切承诺的证明材料。</w:t>
      </w:r>
    </w:p>
    <w:p w14:paraId="034DE227">
      <w:pPr>
        <w:widowControl/>
        <w:spacing w:before="75" w:after="75" w:line="435" w:lineRule="atLeast"/>
        <w:ind w:firstLine="480" w:firstLineChars="200"/>
        <w:jc w:val="left"/>
        <w:rPr>
          <w:rFonts w:ascii="宋体" w:hAnsi="宋体" w:cs="宋体"/>
          <w:color w:val="auto"/>
          <w:kern w:val="0"/>
          <w:sz w:val="24"/>
        </w:rPr>
      </w:pPr>
      <w:r>
        <w:rPr>
          <w:rFonts w:ascii="宋体" w:hAnsi="宋体" w:cs="宋体"/>
          <w:color w:val="auto"/>
          <w:kern w:val="0"/>
          <w:sz w:val="24"/>
        </w:rPr>
        <w:t>2.6我方联系方式、电子信箱和通信地址等信息如下，用于接受贵方发出的与本次谈判活动有关的一切往来信息或通知（包括补充、澄清和成交通知等），我方自行承担信息错误、通讯设备故障或延误查收信息给我方带来的后果和责任。贵方按我方写明的下述联系方式、电子信箱或通信地址发出任何信息或通知，均视同为我方已收悉并知晓，我方均予以认可。</w:t>
      </w:r>
    </w:p>
    <w:p w14:paraId="4C96C6ED">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通信地址：        </w:t>
      </w:r>
    </w:p>
    <w:p w14:paraId="6776AF7B">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邮编：   传真号：   .</w:t>
      </w:r>
    </w:p>
    <w:p w14:paraId="3360CC87">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联系电话（固定电话和移动电话）：          .</w:t>
      </w:r>
    </w:p>
    <w:p w14:paraId="19EF978F">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供应商代表：（签字） </w:t>
      </w:r>
    </w:p>
    <w:p w14:paraId="0A513CDD">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供应商代表电子信箱：                  .</w:t>
      </w:r>
    </w:p>
    <w:p w14:paraId="397594EF">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供应商：（全称并加盖公章）       </w:t>
      </w:r>
    </w:p>
    <w:p w14:paraId="6F5E608C">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日  期：     年    月    日</w:t>
      </w:r>
    </w:p>
    <w:p w14:paraId="3174547E">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w:t>
      </w:r>
    </w:p>
    <w:p w14:paraId="530C452B">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w:t>
      </w:r>
    </w:p>
    <w:p w14:paraId="155CDA66">
      <w:pPr>
        <w:widowControl/>
        <w:spacing w:before="75" w:after="75" w:line="435" w:lineRule="atLeast"/>
        <w:jc w:val="left"/>
        <w:rPr>
          <w:rFonts w:ascii="宋体" w:hAnsi="宋体" w:cs="宋体"/>
          <w:color w:val="auto"/>
          <w:kern w:val="0"/>
          <w:sz w:val="24"/>
        </w:rPr>
      </w:pPr>
    </w:p>
    <w:p w14:paraId="291CAFA4">
      <w:pPr>
        <w:widowControl/>
        <w:spacing w:before="75" w:after="75" w:line="435" w:lineRule="atLeast"/>
        <w:jc w:val="left"/>
        <w:rPr>
          <w:rFonts w:ascii="宋体" w:hAnsi="宋体" w:cs="宋体"/>
          <w:color w:val="auto"/>
          <w:kern w:val="0"/>
          <w:sz w:val="24"/>
        </w:rPr>
      </w:pPr>
    </w:p>
    <w:p w14:paraId="39908099">
      <w:pPr>
        <w:widowControl/>
        <w:spacing w:before="75" w:after="75" w:line="435" w:lineRule="atLeast"/>
        <w:jc w:val="left"/>
        <w:rPr>
          <w:rFonts w:ascii="宋体" w:hAnsi="宋体" w:cs="宋体"/>
          <w:color w:val="auto"/>
          <w:kern w:val="0"/>
          <w:sz w:val="24"/>
        </w:rPr>
      </w:pPr>
    </w:p>
    <w:p w14:paraId="741D38DF">
      <w:pPr>
        <w:widowControl/>
        <w:spacing w:before="75" w:after="75" w:line="435" w:lineRule="atLeast"/>
        <w:jc w:val="left"/>
        <w:rPr>
          <w:rFonts w:ascii="宋体" w:hAnsi="宋体" w:cs="宋体"/>
          <w:color w:val="auto"/>
          <w:kern w:val="0"/>
          <w:sz w:val="24"/>
        </w:rPr>
      </w:pPr>
    </w:p>
    <w:p w14:paraId="7A8E86B8">
      <w:pPr>
        <w:widowControl/>
        <w:spacing w:before="75" w:after="75" w:line="435" w:lineRule="atLeast"/>
        <w:jc w:val="left"/>
        <w:rPr>
          <w:rFonts w:ascii="宋体" w:hAnsi="宋体" w:cs="宋体"/>
          <w:color w:val="auto"/>
          <w:kern w:val="0"/>
          <w:sz w:val="24"/>
        </w:rPr>
      </w:pPr>
    </w:p>
    <w:p w14:paraId="4F52126D">
      <w:pPr>
        <w:widowControl/>
        <w:spacing w:before="75" w:after="75"/>
        <w:jc w:val="left"/>
        <w:rPr>
          <w:rFonts w:ascii="宋体" w:hAnsi="宋体" w:cs="宋体"/>
          <w:b/>
          <w:bCs/>
          <w:color w:val="auto"/>
          <w:kern w:val="0"/>
          <w:sz w:val="24"/>
        </w:rPr>
      </w:pPr>
    </w:p>
    <w:p w14:paraId="39664492">
      <w:pPr>
        <w:widowControl/>
        <w:spacing w:before="75" w:after="75"/>
        <w:jc w:val="left"/>
        <w:rPr>
          <w:rFonts w:ascii="宋体" w:hAnsi="宋体" w:cs="宋体"/>
          <w:color w:val="auto"/>
          <w:kern w:val="0"/>
          <w:sz w:val="24"/>
        </w:rPr>
      </w:pPr>
      <w:r>
        <w:rPr>
          <w:rFonts w:ascii="宋体" w:hAnsi="宋体" w:cs="宋体"/>
          <w:b/>
          <w:bCs/>
          <w:color w:val="auto"/>
          <w:kern w:val="0"/>
          <w:sz w:val="24"/>
        </w:rPr>
        <w:br w:type="textWrapping"/>
      </w:r>
      <w:r>
        <w:rPr>
          <w:rFonts w:ascii="宋体" w:hAnsi="宋体" w:cs="宋体"/>
          <w:color w:val="auto"/>
          <w:kern w:val="0"/>
          <w:sz w:val="24"/>
        </w:rPr>
        <w:t>附件2</w:t>
      </w:r>
      <w:r>
        <w:rPr>
          <w:rFonts w:ascii="宋体" w:hAnsi="宋体" w:cs="宋体"/>
          <w:color w:val="auto"/>
          <w:kern w:val="0"/>
          <w:sz w:val="29"/>
          <w:szCs w:val="29"/>
        </w:rPr>
        <w:t>       </w:t>
      </w:r>
      <w:r>
        <w:rPr>
          <w:rFonts w:ascii="宋体" w:hAnsi="宋体" w:cs="宋体"/>
          <w:b/>
          <w:bCs/>
          <w:color w:val="auto"/>
          <w:kern w:val="0"/>
          <w:sz w:val="36"/>
        </w:rPr>
        <w:t>报价一览表</w:t>
      </w:r>
    </w:p>
    <w:p w14:paraId="720ECC28">
      <w:pPr>
        <w:widowControl/>
        <w:spacing w:before="75" w:after="75" w:line="375" w:lineRule="atLeast"/>
        <w:jc w:val="left"/>
        <w:rPr>
          <w:rFonts w:ascii="宋体" w:hAnsi="宋体" w:cs="宋体"/>
          <w:color w:val="auto"/>
          <w:kern w:val="0"/>
          <w:sz w:val="24"/>
        </w:rPr>
      </w:pPr>
      <w:r>
        <w:rPr>
          <w:rFonts w:ascii="宋体" w:hAnsi="宋体" w:cs="宋体"/>
          <w:color w:val="auto"/>
          <w:kern w:val="0"/>
          <w:sz w:val="24"/>
        </w:rPr>
        <w:t>供应商名称：（全称加盖单位公章）</w:t>
      </w:r>
    </w:p>
    <w:p w14:paraId="33703DED">
      <w:pPr>
        <w:widowControl/>
        <w:spacing w:before="75" w:after="75" w:line="375" w:lineRule="atLeast"/>
        <w:jc w:val="left"/>
        <w:rPr>
          <w:color w:val="auto"/>
          <w:kern w:val="0"/>
          <w:sz w:val="24"/>
        </w:rPr>
      </w:pPr>
      <w:r>
        <w:rPr>
          <w:rFonts w:ascii="宋体" w:hAnsi="宋体" w:cs="宋体"/>
          <w:color w:val="auto"/>
          <w:kern w:val="0"/>
          <w:sz w:val="24"/>
        </w:rPr>
        <w:t>项目编号</w:t>
      </w:r>
      <w:r>
        <w:rPr>
          <w:rFonts w:hint="eastAsia" w:ascii="宋体" w:hAnsi="宋体" w:cs="宋体"/>
          <w:color w:val="auto"/>
          <w:kern w:val="0"/>
          <w:sz w:val="24"/>
        </w:rPr>
        <w:t>∶</w:t>
      </w:r>
      <w:r>
        <w:rPr>
          <w:color w:val="auto"/>
          <w:kern w:val="0"/>
          <w:sz w:val="24"/>
        </w:rPr>
        <w:t>          </w:t>
      </w:r>
    </w:p>
    <w:p w14:paraId="558505E4">
      <w:pPr>
        <w:widowControl/>
        <w:spacing w:before="75" w:after="75" w:line="375" w:lineRule="atLeast"/>
        <w:jc w:val="left"/>
        <w:rPr>
          <w:rFonts w:ascii="宋体" w:hAnsi="宋体" w:cs="宋体"/>
          <w:color w:val="auto"/>
          <w:kern w:val="0"/>
          <w:sz w:val="24"/>
        </w:rPr>
      </w:pPr>
      <w:r>
        <w:rPr>
          <w:rFonts w:ascii="宋体" w:hAnsi="宋体" w:cs="宋体"/>
          <w:color w:val="auto"/>
          <w:kern w:val="0"/>
          <w:sz w:val="24"/>
        </w:rPr>
        <w:t>货币单位：元人民币</w:t>
      </w:r>
    </w:p>
    <w:tbl>
      <w:tblPr>
        <w:tblStyle w:val="14"/>
        <w:tblW w:w="8801" w:type="dxa"/>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1068"/>
        <w:gridCol w:w="3708"/>
        <w:gridCol w:w="1801"/>
        <w:gridCol w:w="1023"/>
        <w:gridCol w:w="1201"/>
      </w:tblGrid>
      <w:tr w14:paraId="14E8037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915" w:hRule="atLeast"/>
          <w:tblCellSpacing w:w="15" w:type="dxa"/>
        </w:trPr>
        <w:tc>
          <w:tcPr>
            <w:tcW w:w="1023" w:type="dxa"/>
            <w:tcBorders>
              <w:top w:val="outset" w:color="auto" w:sz="6" w:space="0"/>
              <w:left w:val="outset" w:color="auto" w:sz="6" w:space="0"/>
              <w:bottom w:val="outset" w:color="auto" w:sz="6" w:space="0"/>
              <w:right w:val="outset" w:color="auto" w:sz="6" w:space="0"/>
            </w:tcBorders>
            <w:tcMar>
              <w:top w:w="0" w:type="dxa"/>
              <w:left w:w="105" w:type="dxa"/>
              <w:bottom w:w="0" w:type="dxa"/>
              <w:right w:w="105" w:type="dxa"/>
            </w:tcMar>
            <w:vAlign w:val="center"/>
          </w:tcPr>
          <w:p w14:paraId="68A9F265">
            <w:pPr>
              <w:widowControl/>
              <w:spacing w:line="465" w:lineRule="atLeast"/>
              <w:jc w:val="center"/>
              <w:rPr>
                <w:rFonts w:ascii="宋体" w:hAnsi="宋体" w:cs="宋体"/>
                <w:color w:val="auto"/>
                <w:kern w:val="0"/>
                <w:sz w:val="24"/>
              </w:rPr>
            </w:pPr>
            <w:r>
              <w:rPr>
                <w:rFonts w:ascii="宋体" w:hAnsi="宋体" w:cs="宋体"/>
                <w:color w:val="auto"/>
                <w:kern w:val="0"/>
                <w:sz w:val="24"/>
              </w:rPr>
              <w:t>合同包</w:t>
            </w:r>
          </w:p>
        </w:tc>
        <w:tc>
          <w:tcPr>
            <w:tcW w:w="3678" w:type="dxa"/>
            <w:tcBorders>
              <w:top w:val="outset" w:color="auto" w:sz="6" w:space="0"/>
              <w:left w:val="single" w:color="auto" w:sz="0" w:space="0"/>
              <w:bottom w:val="outset" w:color="auto" w:sz="6" w:space="0"/>
              <w:right w:val="outset" w:color="auto" w:sz="6" w:space="0"/>
            </w:tcBorders>
            <w:tcMar>
              <w:top w:w="0" w:type="dxa"/>
              <w:left w:w="105" w:type="dxa"/>
              <w:bottom w:w="0" w:type="dxa"/>
              <w:right w:w="105" w:type="dxa"/>
            </w:tcMar>
            <w:vAlign w:val="center"/>
          </w:tcPr>
          <w:p w14:paraId="0B8EF094">
            <w:pPr>
              <w:widowControl/>
              <w:spacing w:line="465" w:lineRule="atLeast"/>
              <w:jc w:val="center"/>
              <w:rPr>
                <w:rFonts w:ascii="宋体" w:hAnsi="宋体" w:cs="宋体"/>
                <w:color w:val="auto"/>
                <w:kern w:val="0"/>
                <w:sz w:val="24"/>
              </w:rPr>
            </w:pPr>
            <w:r>
              <w:rPr>
                <w:rFonts w:ascii="宋体" w:hAnsi="宋体" w:cs="宋体"/>
                <w:color w:val="auto"/>
                <w:kern w:val="0"/>
                <w:sz w:val="24"/>
              </w:rPr>
              <w:t>首次报价</w:t>
            </w:r>
          </w:p>
        </w:tc>
        <w:tc>
          <w:tcPr>
            <w:tcW w:w="1771" w:type="dxa"/>
            <w:tcBorders>
              <w:top w:val="outset" w:color="auto" w:sz="6" w:space="0"/>
              <w:left w:val="single" w:color="auto" w:sz="0" w:space="0"/>
              <w:bottom w:val="outset" w:color="auto" w:sz="6" w:space="0"/>
              <w:right w:val="outset" w:color="auto" w:sz="6" w:space="0"/>
            </w:tcBorders>
            <w:tcMar>
              <w:top w:w="0" w:type="dxa"/>
              <w:left w:w="105" w:type="dxa"/>
              <w:bottom w:w="0" w:type="dxa"/>
              <w:right w:w="105" w:type="dxa"/>
            </w:tcMar>
            <w:vAlign w:val="center"/>
          </w:tcPr>
          <w:p w14:paraId="2270FA88">
            <w:pPr>
              <w:widowControl/>
              <w:spacing w:line="465" w:lineRule="atLeast"/>
              <w:jc w:val="center"/>
              <w:rPr>
                <w:rFonts w:ascii="宋体" w:hAnsi="宋体" w:cs="宋体"/>
                <w:color w:val="auto"/>
                <w:kern w:val="0"/>
                <w:sz w:val="24"/>
              </w:rPr>
            </w:pPr>
            <w:r>
              <w:rPr>
                <w:rFonts w:ascii="宋体" w:hAnsi="宋体" w:cs="宋体"/>
                <w:color w:val="auto"/>
                <w:kern w:val="0"/>
                <w:sz w:val="24"/>
              </w:rPr>
              <w:t>交货期/工期/项目完成时间/服务时间</w:t>
            </w:r>
          </w:p>
        </w:tc>
        <w:tc>
          <w:tcPr>
            <w:tcW w:w="993" w:type="dxa"/>
            <w:tcBorders>
              <w:top w:val="outset" w:color="auto" w:sz="6" w:space="0"/>
              <w:left w:val="single" w:color="auto" w:sz="0" w:space="0"/>
              <w:bottom w:val="outset" w:color="auto" w:sz="6" w:space="0"/>
              <w:right w:val="outset" w:color="auto" w:sz="6" w:space="0"/>
            </w:tcBorders>
            <w:tcMar>
              <w:top w:w="0" w:type="dxa"/>
              <w:left w:w="105" w:type="dxa"/>
              <w:bottom w:w="0" w:type="dxa"/>
              <w:right w:w="105" w:type="dxa"/>
            </w:tcMar>
            <w:vAlign w:val="center"/>
          </w:tcPr>
          <w:p w14:paraId="24934634">
            <w:pPr>
              <w:widowControl/>
              <w:spacing w:line="465" w:lineRule="atLeast"/>
              <w:jc w:val="center"/>
              <w:rPr>
                <w:rFonts w:ascii="宋体" w:hAnsi="宋体" w:cs="宋体"/>
                <w:color w:val="auto"/>
                <w:kern w:val="0"/>
                <w:sz w:val="24"/>
              </w:rPr>
            </w:pPr>
            <w:r>
              <w:rPr>
                <w:rFonts w:ascii="宋体" w:hAnsi="宋体" w:cs="宋体"/>
                <w:color w:val="auto"/>
                <w:kern w:val="0"/>
                <w:sz w:val="24"/>
              </w:rPr>
              <w:t>谈判保证金</w:t>
            </w:r>
          </w:p>
        </w:tc>
        <w:tc>
          <w:tcPr>
            <w:tcW w:w="1156" w:type="dxa"/>
            <w:tcBorders>
              <w:top w:val="outset" w:color="auto" w:sz="6" w:space="0"/>
              <w:left w:val="single" w:color="auto" w:sz="0" w:space="0"/>
              <w:bottom w:val="outset" w:color="auto" w:sz="6" w:space="0"/>
              <w:right w:val="outset" w:color="auto" w:sz="6" w:space="0"/>
            </w:tcBorders>
            <w:tcMar>
              <w:top w:w="0" w:type="dxa"/>
              <w:left w:w="105" w:type="dxa"/>
              <w:bottom w:w="0" w:type="dxa"/>
              <w:right w:w="105" w:type="dxa"/>
            </w:tcMar>
            <w:vAlign w:val="center"/>
          </w:tcPr>
          <w:p w14:paraId="0692B308">
            <w:pPr>
              <w:widowControl/>
              <w:spacing w:line="465" w:lineRule="atLeast"/>
              <w:jc w:val="center"/>
              <w:rPr>
                <w:rFonts w:ascii="宋体" w:hAnsi="宋体" w:cs="宋体"/>
                <w:color w:val="auto"/>
                <w:kern w:val="0"/>
                <w:sz w:val="24"/>
              </w:rPr>
            </w:pPr>
            <w:r>
              <w:rPr>
                <w:rFonts w:ascii="宋体" w:hAnsi="宋体" w:cs="宋体"/>
                <w:color w:val="auto"/>
                <w:kern w:val="0"/>
                <w:sz w:val="24"/>
              </w:rPr>
              <w:t>备注</w:t>
            </w:r>
          </w:p>
        </w:tc>
      </w:tr>
      <w:tr w14:paraId="228284C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915" w:hRule="atLeast"/>
          <w:tblCellSpacing w:w="15" w:type="dxa"/>
        </w:trPr>
        <w:tc>
          <w:tcPr>
            <w:tcW w:w="1023" w:type="dxa"/>
            <w:tcBorders>
              <w:top w:val="single" w:color="auto" w:sz="0" w:space="0"/>
              <w:left w:val="outset" w:color="auto" w:sz="6" w:space="0"/>
              <w:bottom w:val="outset" w:color="auto" w:sz="6" w:space="0"/>
              <w:right w:val="outset" w:color="auto" w:sz="6" w:space="0"/>
            </w:tcBorders>
            <w:tcMar>
              <w:top w:w="0" w:type="dxa"/>
              <w:left w:w="105" w:type="dxa"/>
              <w:bottom w:w="0" w:type="dxa"/>
              <w:right w:w="105" w:type="dxa"/>
            </w:tcMar>
            <w:vAlign w:val="center"/>
          </w:tcPr>
          <w:p w14:paraId="386C18C6">
            <w:pPr>
              <w:widowControl/>
              <w:spacing w:line="465" w:lineRule="atLeast"/>
              <w:jc w:val="center"/>
              <w:rPr>
                <w:rFonts w:ascii="宋体" w:hAnsi="宋体" w:cs="宋体"/>
                <w:color w:val="auto"/>
                <w:kern w:val="0"/>
                <w:sz w:val="24"/>
              </w:rPr>
            </w:pPr>
            <w:r>
              <w:rPr>
                <w:rFonts w:ascii="宋体" w:hAnsi="宋体" w:cs="宋体"/>
                <w:color w:val="auto"/>
                <w:kern w:val="0"/>
                <w:szCs w:val="21"/>
              </w:rPr>
              <w:t>*</w:t>
            </w:r>
          </w:p>
        </w:tc>
        <w:tc>
          <w:tcPr>
            <w:tcW w:w="3678"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14:paraId="6A5354A8">
            <w:pPr>
              <w:widowControl/>
              <w:jc w:val="center"/>
              <w:rPr>
                <w:rFonts w:ascii="宋体" w:hAnsi="宋体" w:cs="宋体"/>
                <w:color w:val="auto"/>
                <w:kern w:val="0"/>
                <w:sz w:val="24"/>
              </w:rPr>
            </w:pPr>
          </w:p>
        </w:tc>
        <w:tc>
          <w:tcPr>
            <w:tcW w:w="1771"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14:paraId="76648B7F">
            <w:pPr>
              <w:widowControl/>
              <w:jc w:val="center"/>
              <w:rPr>
                <w:rFonts w:ascii="宋体" w:hAnsi="宋体" w:cs="宋体"/>
                <w:color w:val="auto"/>
                <w:kern w:val="0"/>
                <w:sz w:val="24"/>
              </w:rPr>
            </w:pPr>
          </w:p>
        </w:tc>
        <w:tc>
          <w:tcPr>
            <w:tcW w:w="993"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14:paraId="5E0BB247">
            <w:pPr>
              <w:widowControl/>
              <w:jc w:val="center"/>
              <w:rPr>
                <w:rFonts w:ascii="宋体" w:hAnsi="宋体" w:cs="宋体"/>
                <w:color w:val="auto"/>
                <w:kern w:val="0"/>
                <w:sz w:val="24"/>
              </w:rPr>
            </w:pPr>
          </w:p>
        </w:tc>
        <w:tc>
          <w:tcPr>
            <w:tcW w:w="1156"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14:paraId="49156A45">
            <w:pPr>
              <w:widowControl/>
              <w:jc w:val="center"/>
              <w:rPr>
                <w:rFonts w:ascii="宋体" w:hAnsi="宋体" w:cs="宋体"/>
                <w:color w:val="auto"/>
                <w:kern w:val="0"/>
                <w:sz w:val="24"/>
              </w:rPr>
            </w:pPr>
          </w:p>
        </w:tc>
      </w:tr>
      <w:tr w14:paraId="34CBFA5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915" w:hRule="atLeast"/>
          <w:tblCellSpacing w:w="15" w:type="dxa"/>
        </w:trPr>
        <w:tc>
          <w:tcPr>
            <w:tcW w:w="1023" w:type="dxa"/>
            <w:tcBorders>
              <w:top w:val="single" w:color="auto" w:sz="0" w:space="0"/>
              <w:left w:val="outset" w:color="auto" w:sz="6" w:space="0"/>
              <w:bottom w:val="outset" w:color="auto" w:sz="6" w:space="0"/>
              <w:right w:val="outset" w:color="auto" w:sz="6" w:space="0"/>
            </w:tcBorders>
            <w:tcMar>
              <w:top w:w="0" w:type="dxa"/>
              <w:left w:w="105" w:type="dxa"/>
              <w:bottom w:w="0" w:type="dxa"/>
              <w:right w:w="105" w:type="dxa"/>
            </w:tcMar>
            <w:vAlign w:val="center"/>
          </w:tcPr>
          <w:p w14:paraId="345A69AF">
            <w:pPr>
              <w:widowControl/>
              <w:spacing w:line="465" w:lineRule="atLeast"/>
              <w:jc w:val="center"/>
              <w:rPr>
                <w:rFonts w:ascii="宋体" w:hAnsi="宋体" w:cs="宋体"/>
                <w:color w:val="auto"/>
                <w:kern w:val="0"/>
                <w:sz w:val="24"/>
              </w:rPr>
            </w:pPr>
            <w:r>
              <w:rPr>
                <w:rFonts w:ascii="Calibri" w:hAnsi="Calibri" w:cs="宋体"/>
                <w:color w:val="auto"/>
                <w:kern w:val="0"/>
                <w:szCs w:val="21"/>
              </w:rPr>
              <w:t>…</w:t>
            </w:r>
          </w:p>
        </w:tc>
        <w:tc>
          <w:tcPr>
            <w:tcW w:w="3678"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14:paraId="70B6F6E0">
            <w:pPr>
              <w:widowControl/>
              <w:jc w:val="center"/>
              <w:rPr>
                <w:rFonts w:ascii="宋体" w:hAnsi="宋体" w:cs="宋体"/>
                <w:color w:val="auto"/>
                <w:kern w:val="0"/>
                <w:sz w:val="24"/>
              </w:rPr>
            </w:pPr>
          </w:p>
        </w:tc>
        <w:tc>
          <w:tcPr>
            <w:tcW w:w="1771"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14:paraId="73516046">
            <w:pPr>
              <w:widowControl/>
              <w:jc w:val="center"/>
              <w:rPr>
                <w:rFonts w:ascii="宋体" w:hAnsi="宋体" w:cs="宋体"/>
                <w:color w:val="auto"/>
                <w:kern w:val="0"/>
                <w:sz w:val="24"/>
              </w:rPr>
            </w:pPr>
          </w:p>
        </w:tc>
        <w:tc>
          <w:tcPr>
            <w:tcW w:w="993"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14:paraId="5B43DEDC">
            <w:pPr>
              <w:widowControl/>
              <w:jc w:val="center"/>
              <w:rPr>
                <w:rFonts w:ascii="宋体" w:hAnsi="宋体" w:cs="宋体"/>
                <w:color w:val="auto"/>
                <w:kern w:val="0"/>
                <w:sz w:val="24"/>
              </w:rPr>
            </w:pPr>
          </w:p>
        </w:tc>
        <w:tc>
          <w:tcPr>
            <w:tcW w:w="1156"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14:paraId="0F87D28C">
            <w:pPr>
              <w:widowControl/>
              <w:jc w:val="center"/>
              <w:rPr>
                <w:rFonts w:ascii="宋体" w:hAnsi="宋体" w:cs="宋体"/>
                <w:color w:val="auto"/>
                <w:kern w:val="0"/>
                <w:sz w:val="24"/>
              </w:rPr>
            </w:pPr>
          </w:p>
        </w:tc>
      </w:tr>
      <w:tr w14:paraId="12A8E14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915" w:hRule="atLeast"/>
          <w:tblCellSpacing w:w="15" w:type="dxa"/>
        </w:trPr>
        <w:tc>
          <w:tcPr>
            <w:tcW w:w="1023" w:type="dxa"/>
            <w:tcBorders>
              <w:top w:val="single" w:color="auto" w:sz="0" w:space="0"/>
              <w:left w:val="outset" w:color="auto" w:sz="6" w:space="0"/>
              <w:bottom w:val="outset" w:color="auto" w:sz="6" w:space="0"/>
              <w:right w:val="outset" w:color="auto" w:sz="6" w:space="0"/>
            </w:tcBorders>
            <w:tcMar>
              <w:top w:w="0" w:type="dxa"/>
              <w:left w:w="105" w:type="dxa"/>
              <w:bottom w:w="0" w:type="dxa"/>
              <w:right w:w="105" w:type="dxa"/>
            </w:tcMar>
            <w:vAlign w:val="center"/>
          </w:tcPr>
          <w:p w14:paraId="21C2A0B1">
            <w:pPr>
              <w:widowControl/>
              <w:spacing w:line="465" w:lineRule="atLeast"/>
              <w:jc w:val="center"/>
              <w:rPr>
                <w:rFonts w:ascii="宋体" w:hAnsi="宋体" w:cs="宋体"/>
                <w:color w:val="auto"/>
                <w:kern w:val="0"/>
                <w:sz w:val="24"/>
              </w:rPr>
            </w:pPr>
            <w:r>
              <w:rPr>
                <w:rFonts w:ascii="Calibri" w:hAnsi="Calibri" w:cs="宋体"/>
                <w:color w:val="auto"/>
                <w:kern w:val="0"/>
                <w:szCs w:val="21"/>
              </w:rPr>
              <w:t>…</w:t>
            </w:r>
          </w:p>
        </w:tc>
        <w:tc>
          <w:tcPr>
            <w:tcW w:w="3678"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14:paraId="3DE76CE7">
            <w:pPr>
              <w:widowControl/>
              <w:jc w:val="center"/>
              <w:rPr>
                <w:rFonts w:ascii="宋体" w:hAnsi="宋体" w:cs="宋体"/>
                <w:color w:val="auto"/>
                <w:kern w:val="0"/>
                <w:sz w:val="24"/>
              </w:rPr>
            </w:pPr>
          </w:p>
        </w:tc>
        <w:tc>
          <w:tcPr>
            <w:tcW w:w="1771"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14:paraId="1BEBE88B">
            <w:pPr>
              <w:widowControl/>
              <w:jc w:val="center"/>
              <w:rPr>
                <w:rFonts w:ascii="宋体" w:hAnsi="宋体" w:cs="宋体"/>
                <w:color w:val="auto"/>
                <w:kern w:val="0"/>
                <w:sz w:val="24"/>
              </w:rPr>
            </w:pPr>
          </w:p>
        </w:tc>
        <w:tc>
          <w:tcPr>
            <w:tcW w:w="993"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14:paraId="776A7898">
            <w:pPr>
              <w:widowControl/>
              <w:jc w:val="center"/>
              <w:rPr>
                <w:rFonts w:ascii="宋体" w:hAnsi="宋体" w:cs="宋体"/>
                <w:color w:val="auto"/>
                <w:kern w:val="0"/>
                <w:sz w:val="24"/>
              </w:rPr>
            </w:pPr>
          </w:p>
        </w:tc>
        <w:tc>
          <w:tcPr>
            <w:tcW w:w="1156"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14:paraId="07512A4A">
            <w:pPr>
              <w:widowControl/>
              <w:jc w:val="center"/>
              <w:rPr>
                <w:rFonts w:ascii="宋体" w:hAnsi="宋体" w:cs="宋体"/>
                <w:color w:val="auto"/>
                <w:kern w:val="0"/>
                <w:sz w:val="24"/>
              </w:rPr>
            </w:pPr>
          </w:p>
        </w:tc>
      </w:tr>
      <w:tr w14:paraId="6B6EB564">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915" w:hRule="atLeast"/>
          <w:tblCellSpacing w:w="15" w:type="dxa"/>
        </w:trPr>
        <w:tc>
          <w:tcPr>
            <w:tcW w:w="1023" w:type="dxa"/>
            <w:tcBorders>
              <w:top w:val="single" w:color="auto" w:sz="0" w:space="0"/>
              <w:left w:val="outset" w:color="auto" w:sz="6" w:space="0"/>
              <w:bottom w:val="outset" w:color="auto" w:sz="6" w:space="0"/>
              <w:right w:val="outset" w:color="auto" w:sz="6" w:space="0"/>
            </w:tcBorders>
            <w:tcMar>
              <w:top w:w="0" w:type="dxa"/>
              <w:left w:w="105" w:type="dxa"/>
              <w:bottom w:w="0" w:type="dxa"/>
              <w:right w:w="105" w:type="dxa"/>
            </w:tcMar>
            <w:vAlign w:val="center"/>
          </w:tcPr>
          <w:p w14:paraId="78D45B89">
            <w:pPr>
              <w:widowControl/>
              <w:spacing w:line="465" w:lineRule="atLeast"/>
              <w:jc w:val="center"/>
              <w:rPr>
                <w:rFonts w:ascii="宋体" w:hAnsi="宋体" w:cs="宋体"/>
                <w:color w:val="auto"/>
                <w:kern w:val="0"/>
                <w:sz w:val="24"/>
              </w:rPr>
            </w:pPr>
            <w:r>
              <w:rPr>
                <w:rFonts w:ascii="Calibri" w:hAnsi="Calibri" w:cs="宋体"/>
                <w:color w:val="auto"/>
                <w:kern w:val="0"/>
                <w:szCs w:val="21"/>
              </w:rPr>
              <w:t>…</w:t>
            </w:r>
          </w:p>
        </w:tc>
        <w:tc>
          <w:tcPr>
            <w:tcW w:w="3678"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14:paraId="0B89B84D">
            <w:pPr>
              <w:widowControl/>
              <w:jc w:val="center"/>
              <w:rPr>
                <w:rFonts w:ascii="宋体" w:hAnsi="宋体" w:cs="宋体"/>
                <w:color w:val="auto"/>
                <w:kern w:val="0"/>
                <w:sz w:val="24"/>
              </w:rPr>
            </w:pPr>
          </w:p>
        </w:tc>
        <w:tc>
          <w:tcPr>
            <w:tcW w:w="1771"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14:paraId="21589B07">
            <w:pPr>
              <w:widowControl/>
              <w:jc w:val="center"/>
              <w:rPr>
                <w:rFonts w:ascii="宋体" w:hAnsi="宋体" w:cs="宋体"/>
                <w:color w:val="auto"/>
                <w:kern w:val="0"/>
                <w:sz w:val="24"/>
              </w:rPr>
            </w:pPr>
          </w:p>
        </w:tc>
        <w:tc>
          <w:tcPr>
            <w:tcW w:w="993"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14:paraId="47A3D917">
            <w:pPr>
              <w:widowControl/>
              <w:jc w:val="center"/>
              <w:rPr>
                <w:rFonts w:ascii="宋体" w:hAnsi="宋体" w:cs="宋体"/>
                <w:color w:val="auto"/>
                <w:kern w:val="0"/>
                <w:sz w:val="24"/>
              </w:rPr>
            </w:pPr>
          </w:p>
        </w:tc>
        <w:tc>
          <w:tcPr>
            <w:tcW w:w="1156"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14:paraId="359FDA4F">
            <w:pPr>
              <w:widowControl/>
              <w:jc w:val="center"/>
              <w:rPr>
                <w:rFonts w:ascii="宋体" w:hAnsi="宋体" w:cs="宋体"/>
                <w:color w:val="auto"/>
                <w:kern w:val="0"/>
                <w:sz w:val="24"/>
              </w:rPr>
            </w:pPr>
          </w:p>
        </w:tc>
      </w:tr>
      <w:tr w14:paraId="7B56CFB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915" w:hRule="atLeast"/>
          <w:tblCellSpacing w:w="15" w:type="dxa"/>
        </w:trPr>
        <w:tc>
          <w:tcPr>
            <w:tcW w:w="1023" w:type="dxa"/>
            <w:tcBorders>
              <w:top w:val="single" w:color="auto" w:sz="0" w:space="0"/>
              <w:left w:val="outset" w:color="auto" w:sz="6" w:space="0"/>
              <w:bottom w:val="outset" w:color="auto" w:sz="6" w:space="0"/>
              <w:right w:val="outset" w:color="auto" w:sz="6" w:space="0"/>
            </w:tcBorders>
            <w:tcMar>
              <w:top w:w="0" w:type="dxa"/>
              <w:left w:w="105" w:type="dxa"/>
              <w:bottom w:w="0" w:type="dxa"/>
              <w:right w:w="105" w:type="dxa"/>
            </w:tcMar>
            <w:vAlign w:val="center"/>
          </w:tcPr>
          <w:p w14:paraId="1F8A150A">
            <w:pPr>
              <w:widowControl/>
              <w:spacing w:line="465" w:lineRule="atLeast"/>
              <w:jc w:val="center"/>
              <w:rPr>
                <w:rFonts w:ascii="宋体" w:hAnsi="宋体" w:cs="宋体"/>
                <w:color w:val="auto"/>
                <w:kern w:val="0"/>
                <w:sz w:val="24"/>
              </w:rPr>
            </w:pPr>
            <w:r>
              <w:rPr>
                <w:rFonts w:ascii="Calibri" w:hAnsi="Calibri" w:cs="宋体"/>
                <w:color w:val="auto"/>
                <w:kern w:val="0"/>
                <w:szCs w:val="21"/>
              </w:rPr>
              <w:t>…</w:t>
            </w:r>
          </w:p>
        </w:tc>
        <w:tc>
          <w:tcPr>
            <w:tcW w:w="3678"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14:paraId="37F2E010">
            <w:pPr>
              <w:widowControl/>
              <w:jc w:val="center"/>
              <w:rPr>
                <w:rFonts w:ascii="宋体" w:hAnsi="宋体" w:cs="宋体"/>
                <w:color w:val="auto"/>
                <w:kern w:val="0"/>
                <w:sz w:val="24"/>
              </w:rPr>
            </w:pPr>
          </w:p>
        </w:tc>
        <w:tc>
          <w:tcPr>
            <w:tcW w:w="1771"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14:paraId="6224BEAC">
            <w:pPr>
              <w:widowControl/>
              <w:jc w:val="center"/>
              <w:rPr>
                <w:rFonts w:ascii="宋体" w:hAnsi="宋体" w:cs="宋体"/>
                <w:color w:val="auto"/>
                <w:kern w:val="0"/>
                <w:sz w:val="24"/>
              </w:rPr>
            </w:pPr>
          </w:p>
        </w:tc>
        <w:tc>
          <w:tcPr>
            <w:tcW w:w="993"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14:paraId="46F6921F">
            <w:pPr>
              <w:widowControl/>
              <w:jc w:val="center"/>
              <w:rPr>
                <w:rFonts w:ascii="宋体" w:hAnsi="宋体" w:cs="宋体"/>
                <w:color w:val="auto"/>
                <w:kern w:val="0"/>
                <w:sz w:val="24"/>
              </w:rPr>
            </w:pPr>
          </w:p>
        </w:tc>
        <w:tc>
          <w:tcPr>
            <w:tcW w:w="1156"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14:paraId="4D260A45">
            <w:pPr>
              <w:widowControl/>
              <w:jc w:val="center"/>
              <w:rPr>
                <w:rFonts w:ascii="宋体" w:hAnsi="宋体" w:cs="宋体"/>
                <w:color w:val="auto"/>
                <w:kern w:val="0"/>
                <w:sz w:val="24"/>
              </w:rPr>
            </w:pPr>
          </w:p>
        </w:tc>
      </w:tr>
    </w:tbl>
    <w:p w14:paraId="11F7C46A">
      <w:pPr>
        <w:widowControl/>
        <w:spacing w:before="75" w:after="75"/>
        <w:jc w:val="left"/>
        <w:rPr>
          <w:rFonts w:ascii="宋体" w:hAnsi="宋体" w:cs="宋体"/>
          <w:color w:val="auto"/>
          <w:kern w:val="0"/>
          <w:sz w:val="24"/>
        </w:rPr>
      </w:pPr>
      <w:r>
        <w:rPr>
          <w:rFonts w:ascii="宋体" w:hAnsi="宋体" w:cs="宋体"/>
          <w:color w:val="auto"/>
          <w:kern w:val="0"/>
          <w:sz w:val="24"/>
        </w:rPr>
        <w:t> </w:t>
      </w:r>
    </w:p>
    <w:p w14:paraId="303EEE62">
      <w:pPr>
        <w:widowControl/>
        <w:spacing w:before="75" w:after="75"/>
        <w:jc w:val="left"/>
        <w:rPr>
          <w:rFonts w:ascii="宋体" w:hAnsi="宋体" w:cs="宋体"/>
          <w:color w:val="auto"/>
          <w:kern w:val="0"/>
          <w:sz w:val="24"/>
        </w:rPr>
      </w:pPr>
      <w:r>
        <w:rPr>
          <w:rFonts w:ascii="宋体" w:hAnsi="宋体" w:cs="宋体"/>
          <w:color w:val="auto"/>
          <w:kern w:val="0"/>
          <w:sz w:val="24"/>
        </w:rPr>
        <w:t>备注：详细报价书另纸详列，格式自拟。</w:t>
      </w:r>
    </w:p>
    <w:p w14:paraId="4A41E8D4">
      <w:pPr>
        <w:widowControl/>
        <w:spacing w:before="75" w:after="75" w:line="375" w:lineRule="atLeast"/>
        <w:jc w:val="left"/>
        <w:rPr>
          <w:rFonts w:ascii="宋体" w:hAnsi="宋体" w:cs="宋体"/>
          <w:color w:val="auto"/>
          <w:kern w:val="0"/>
          <w:szCs w:val="21"/>
        </w:rPr>
      </w:pPr>
      <w:r>
        <w:rPr>
          <w:rFonts w:ascii="宋体" w:hAnsi="宋体" w:cs="宋体"/>
          <w:color w:val="auto"/>
          <w:kern w:val="0"/>
          <w:szCs w:val="21"/>
        </w:rPr>
        <w:t>                                             </w:t>
      </w:r>
    </w:p>
    <w:p w14:paraId="0B2A406B">
      <w:pPr>
        <w:widowControl/>
        <w:spacing w:before="75" w:after="75" w:line="375" w:lineRule="atLeast"/>
        <w:jc w:val="left"/>
        <w:rPr>
          <w:rFonts w:ascii="宋体" w:hAnsi="宋体" w:cs="宋体"/>
          <w:color w:val="auto"/>
          <w:kern w:val="0"/>
          <w:szCs w:val="21"/>
        </w:rPr>
      </w:pPr>
      <w:r>
        <w:rPr>
          <w:rFonts w:ascii="宋体" w:hAnsi="宋体" w:cs="宋体"/>
          <w:color w:val="auto"/>
          <w:kern w:val="0"/>
          <w:szCs w:val="21"/>
        </w:rPr>
        <w:t>  </w:t>
      </w:r>
      <w:r>
        <w:rPr>
          <w:rFonts w:ascii="宋体" w:hAnsi="宋体" w:cs="宋体"/>
          <w:color w:val="auto"/>
          <w:kern w:val="0"/>
          <w:sz w:val="24"/>
        </w:rPr>
        <w:t>供应商名称：</w:t>
      </w:r>
      <w:r>
        <w:rPr>
          <w:rFonts w:ascii="宋体" w:hAnsi="宋体" w:cs="宋体"/>
          <w:color w:val="auto"/>
          <w:kern w:val="0"/>
          <w:szCs w:val="21"/>
        </w:rPr>
        <w:t>                       </w:t>
      </w:r>
    </w:p>
    <w:p w14:paraId="70DAE6DA">
      <w:pPr>
        <w:widowControl/>
        <w:spacing w:before="75" w:after="75" w:line="375" w:lineRule="atLeast"/>
        <w:jc w:val="left"/>
        <w:rPr>
          <w:rFonts w:ascii="宋体" w:hAnsi="宋体" w:cs="宋体"/>
          <w:color w:val="auto"/>
          <w:kern w:val="0"/>
          <w:sz w:val="24"/>
        </w:rPr>
      </w:pPr>
      <w:r>
        <w:rPr>
          <w:rFonts w:ascii="宋体" w:hAnsi="宋体" w:cs="宋体"/>
          <w:color w:val="auto"/>
          <w:kern w:val="0"/>
          <w:szCs w:val="21"/>
        </w:rPr>
        <w:t> </w:t>
      </w:r>
      <w:r>
        <w:rPr>
          <w:rFonts w:ascii="宋体" w:hAnsi="宋体" w:cs="宋体"/>
          <w:color w:val="auto"/>
          <w:kern w:val="0"/>
          <w:sz w:val="24"/>
        </w:rPr>
        <w:t> 供应商代表：（签字）             </w:t>
      </w:r>
    </w:p>
    <w:p w14:paraId="75B2583B">
      <w:pPr>
        <w:widowControl/>
        <w:spacing w:before="75" w:after="75" w:line="375" w:lineRule="atLeast"/>
        <w:jc w:val="left"/>
        <w:rPr>
          <w:rFonts w:ascii="宋体" w:hAnsi="宋体" w:cs="宋体"/>
          <w:color w:val="auto"/>
          <w:kern w:val="0"/>
          <w:sz w:val="24"/>
        </w:rPr>
      </w:pPr>
      <w:r>
        <w:rPr>
          <w:rFonts w:ascii="宋体" w:hAnsi="宋体" w:cs="宋体"/>
          <w:color w:val="auto"/>
          <w:kern w:val="0"/>
          <w:sz w:val="24"/>
        </w:rPr>
        <w:t> </w:t>
      </w:r>
    </w:p>
    <w:p w14:paraId="0C33175B">
      <w:pPr>
        <w:widowControl/>
        <w:spacing w:before="75" w:after="75" w:line="375" w:lineRule="atLeast"/>
        <w:jc w:val="left"/>
        <w:rPr>
          <w:rFonts w:ascii="宋体" w:hAnsi="宋体" w:cs="宋体"/>
          <w:color w:val="auto"/>
          <w:kern w:val="0"/>
          <w:sz w:val="24"/>
        </w:rPr>
      </w:pPr>
      <w:r>
        <w:rPr>
          <w:rFonts w:ascii="宋体" w:hAnsi="宋体" w:cs="宋体"/>
          <w:b/>
          <w:bCs/>
          <w:color w:val="auto"/>
          <w:kern w:val="0"/>
          <w:sz w:val="24"/>
        </w:rPr>
        <w:t> </w:t>
      </w:r>
    </w:p>
    <w:p w14:paraId="73AE187E">
      <w:pPr>
        <w:widowControl/>
        <w:spacing w:before="75" w:after="75" w:line="435" w:lineRule="atLeast"/>
        <w:rPr>
          <w:rFonts w:ascii="宋体" w:hAnsi="宋体" w:cs="宋体"/>
          <w:color w:val="auto"/>
          <w:kern w:val="0"/>
          <w:sz w:val="24"/>
        </w:rPr>
      </w:pPr>
      <w:r>
        <w:rPr>
          <w:rFonts w:ascii="宋体" w:hAnsi="宋体" w:cs="宋体"/>
          <w:color w:val="auto"/>
          <w:kern w:val="0"/>
          <w:sz w:val="24"/>
        </w:rPr>
        <w:t> </w:t>
      </w:r>
      <w:r>
        <w:rPr>
          <w:rFonts w:hint="eastAsia" w:ascii="宋体" w:hAnsi="宋体" w:cs="宋体"/>
          <w:color w:val="auto"/>
          <w:kern w:val="0"/>
          <w:sz w:val="24"/>
        </w:rPr>
        <w:tab/>
      </w:r>
      <w:r>
        <w:rPr>
          <w:rFonts w:ascii="宋体" w:hAnsi="宋体" w:cs="宋体"/>
          <w:color w:val="auto"/>
          <w:kern w:val="0"/>
          <w:sz w:val="24"/>
        </w:rPr>
        <w:t>日  期：     年    月    日</w:t>
      </w:r>
    </w:p>
    <w:p w14:paraId="3F19102C">
      <w:pPr>
        <w:widowControl/>
        <w:tabs>
          <w:tab w:val="left" w:pos="433"/>
        </w:tabs>
        <w:spacing w:before="75" w:after="75" w:line="375" w:lineRule="atLeast"/>
        <w:jc w:val="left"/>
        <w:rPr>
          <w:rFonts w:ascii="宋体" w:hAnsi="宋体" w:cs="宋体"/>
          <w:color w:val="auto"/>
          <w:kern w:val="0"/>
          <w:sz w:val="24"/>
        </w:rPr>
      </w:pPr>
    </w:p>
    <w:p w14:paraId="0ACC5393">
      <w:pPr>
        <w:widowControl/>
        <w:spacing w:before="75" w:after="75" w:line="375" w:lineRule="atLeast"/>
        <w:jc w:val="left"/>
        <w:rPr>
          <w:rFonts w:ascii="宋体" w:hAnsi="宋体" w:cs="宋体"/>
          <w:color w:val="auto"/>
          <w:kern w:val="0"/>
          <w:sz w:val="24"/>
        </w:rPr>
      </w:pPr>
    </w:p>
    <w:p w14:paraId="5C4CCF35">
      <w:pPr>
        <w:widowControl/>
        <w:spacing w:before="75" w:after="75"/>
        <w:jc w:val="left"/>
        <w:rPr>
          <w:rFonts w:ascii="宋体" w:hAnsi="宋体" w:cs="宋体"/>
          <w:color w:val="auto"/>
          <w:kern w:val="0"/>
          <w:sz w:val="24"/>
        </w:rPr>
      </w:pPr>
      <w:r>
        <w:rPr>
          <w:rFonts w:ascii="宋体" w:hAnsi="宋体" w:cs="宋体"/>
          <w:color w:val="auto"/>
          <w:kern w:val="0"/>
          <w:sz w:val="24"/>
        </w:rPr>
        <w:t>附件2-1       </w:t>
      </w:r>
      <w:r>
        <w:rPr>
          <w:rFonts w:ascii="宋体" w:hAnsi="宋体" w:cs="宋体"/>
          <w:color w:val="auto"/>
          <w:kern w:val="0"/>
          <w:sz w:val="36"/>
          <w:szCs w:val="36"/>
        </w:rPr>
        <w:t> </w:t>
      </w:r>
      <w:r>
        <w:rPr>
          <w:rFonts w:ascii="宋体" w:hAnsi="宋体" w:cs="宋体"/>
          <w:b/>
          <w:bCs/>
          <w:color w:val="auto"/>
          <w:kern w:val="0"/>
          <w:sz w:val="36"/>
        </w:rPr>
        <w:t>详细报价书</w:t>
      </w:r>
    </w:p>
    <w:p w14:paraId="6380CC45">
      <w:pPr>
        <w:widowControl/>
        <w:spacing w:before="75" w:after="75" w:line="495" w:lineRule="atLeast"/>
        <w:jc w:val="left"/>
        <w:rPr>
          <w:rFonts w:ascii="宋体" w:hAnsi="宋体" w:cs="宋体"/>
          <w:color w:val="auto"/>
          <w:kern w:val="0"/>
          <w:sz w:val="24"/>
        </w:rPr>
      </w:pPr>
      <w:r>
        <w:rPr>
          <w:rFonts w:ascii="宋体" w:hAnsi="宋体" w:cs="宋体"/>
          <w:b/>
          <w:bCs/>
          <w:color w:val="auto"/>
          <w:kern w:val="0"/>
          <w:sz w:val="24"/>
        </w:rPr>
        <w:t> </w:t>
      </w:r>
    </w:p>
    <w:p w14:paraId="02333E9D">
      <w:pPr>
        <w:widowControl/>
        <w:spacing w:before="75" w:after="75" w:line="495" w:lineRule="atLeast"/>
        <w:jc w:val="left"/>
        <w:rPr>
          <w:rFonts w:ascii="宋体" w:hAnsi="宋体" w:cs="宋体"/>
          <w:color w:val="auto"/>
          <w:kern w:val="0"/>
          <w:sz w:val="24"/>
        </w:rPr>
      </w:pPr>
      <w:r>
        <w:rPr>
          <w:rFonts w:ascii="宋体" w:hAnsi="宋体" w:cs="宋体"/>
          <w:b/>
          <w:bCs/>
          <w:color w:val="auto"/>
          <w:kern w:val="0"/>
          <w:sz w:val="24"/>
        </w:rPr>
        <w:t>说明：</w:t>
      </w:r>
    </w:p>
    <w:p w14:paraId="2E9242FB">
      <w:pPr>
        <w:widowControl/>
        <w:spacing w:before="75" w:after="75" w:line="465" w:lineRule="atLeast"/>
        <w:ind w:firstLine="480"/>
        <w:jc w:val="left"/>
        <w:rPr>
          <w:rFonts w:ascii="宋体" w:hAnsi="宋体" w:cs="宋体"/>
          <w:color w:val="auto"/>
          <w:kern w:val="0"/>
          <w:sz w:val="24"/>
        </w:rPr>
      </w:pPr>
      <w:r>
        <w:rPr>
          <w:rFonts w:ascii="宋体" w:hAnsi="宋体" w:cs="宋体"/>
          <w:color w:val="auto"/>
          <w:kern w:val="0"/>
          <w:sz w:val="24"/>
        </w:rPr>
        <w:t>1.各供应商应根据竞争性谈判文件的要求，在响应文件中提出为完成本项目相应合同包工作所必需包含的详细工作内容（如：详细具体货物或服务或工程量清单内容），并以此做出详细的报价书。详细报价书应做出详细完整的报价单价和合价，并汇总计算出报价总价。采购人或采购代理机构如果对详细报价书有统一格式要求的，可以进行规定或附表。如果没有特别要求的，则格式由供应商根据项目特点自行拟制。</w:t>
      </w:r>
    </w:p>
    <w:p w14:paraId="3214821E">
      <w:pPr>
        <w:widowControl/>
        <w:spacing w:before="75" w:after="75" w:line="495" w:lineRule="atLeast"/>
        <w:ind w:firstLine="480"/>
        <w:jc w:val="left"/>
        <w:rPr>
          <w:rFonts w:ascii="宋体" w:hAnsi="宋体" w:cs="宋体"/>
          <w:color w:val="auto"/>
          <w:kern w:val="0"/>
          <w:sz w:val="24"/>
        </w:rPr>
      </w:pPr>
      <w:r>
        <w:rPr>
          <w:rFonts w:ascii="宋体" w:hAnsi="宋体" w:cs="宋体"/>
          <w:color w:val="auto"/>
          <w:kern w:val="0"/>
          <w:sz w:val="24"/>
        </w:rPr>
        <w:t>2.为完成相应合同包项下的全部工作所涉及的费用都应包含在详细报价书的各个单项中，供应商应充分考虑和评估。供应商未做详细分析或理解偏差错漏或不认真严谨等原因造成其未将本合同项下相关项目和费用列入详细报价书的，均视同相关项目和费用为已包含在详细报价书的其他单价或合价中，采购人在合同执行过程中，不再多还少补。</w:t>
      </w:r>
    </w:p>
    <w:p w14:paraId="6670924E">
      <w:pPr>
        <w:widowControl/>
        <w:spacing w:before="75" w:after="75" w:line="495" w:lineRule="atLeast"/>
        <w:ind w:firstLine="480"/>
        <w:rPr>
          <w:rFonts w:ascii="宋体" w:hAnsi="宋体" w:cs="宋体"/>
          <w:color w:val="auto"/>
          <w:kern w:val="0"/>
          <w:sz w:val="24"/>
        </w:rPr>
      </w:pPr>
      <w:r>
        <w:rPr>
          <w:rFonts w:ascii="宋体" w:hAnsi="宋体" w:cs="宋体"/>
          <w:color w:val="auto"/>
          <w:kern w:val="0"/>
          <w:sz w:val="24"/>
        </w:rPr>
        <w:t>3.对于不能详细列明采购标的的技术、服务要求的谈判采购项目或者如优惠率谈判、单价谈判等特殊类型的谈判采购项目，由供应商根据谈判文件的具体规定和项目特点提交详细报价书，采购人或采购代理机构如果对详细报价书有统一格式要求的，可以进行规定或附表。如果没有特别要求的，则格式由供应商根据项目特点自行拟制。</w:t>
      </w:r>
    </w:p>
    <w:p w14:paraId="615E5E44">
      <w:pPr>
        <w:widowControl/>
        <w:spacing w:before="75" w:after="75" w:line="495" w:lineRule="atLeast"/>
        <w:jc w:val="left"/>
        <w:rPr>
          <w:rFonts w:ascii="宋体" w:hAnsi="宋体" w:cs="宋体"/>
          <w:color w:val="auto"/>
          <w:kern w:val="0"/>
          <w:sz w:val="24"/>
        </w:rPr>
      </w:pPr>
      <w:r>
        <w:rPr>
          <w:rFonts w:ascii="宋体" w:hAnsi="宋体" w:cs="宋体"/>
          <w:color w:val="auto"/>
          <w:kern w:val="0"/>
          <w:sz w:val="24"/>
        </w:rPr>
        <w:t> </w:t>
      </w:r>
    </w:p>
    <w:p w14:paraId="55DBDAF6">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w:t>
      </w:r>
    </w:p>
    <w:p w14:paraId="754DFBD7">
      <w:pPr>
        <w:widowControl/>
        <w:spacing w:before="75" w:after="75" w:line="435" w:lineRule="atLeast"/>
        <w:rPr>
          <w:rFonts w:ascii="宋体" w:hAnsi="宋体" w:cs="宋体"/>
          <w:color w:val="auto"/>
          <w:kern w:val="0"/>
          <w:sz w:val="24"/>
        </w:rPr>
      </w:pPr>
      <w:r>
        <w:rPr>
          <w:rFonts w:ascii="宋体" w:hAnsi="宋体" w:cs="宋体"/>
          <w:color w:val="auto"/>
          <w:kern w:val="0"/>
          <w:sz w:val="24"/>
        </w:rPr>
        <w:t>供应商代表：       （签字） </w:t>
      </w:r>
    </w:p>
    <w:p w14:paraId="5F44064E">
      <w:pPr>
        <w:widowControl/>
        <w:spacing w:before="75" w:after="75" w:line="435" w:lineRule="atLeast"/>
        <w:rPr>
          <w:rFonts w:ascii="宋体" w:hAnsi="宋体" w:cs="宋体"/>
          <w:color w:val="auto"/>
          <w:kern w:val="0"/>
          <w:sz w:val="24"/>
        </w:rPr>
      </w:pPr>
      <w:r>
        <w:rPr>
          <w:rFonts w:ascii="宋体" w:hAnsi="宋体" w:cs="宋体"/>
          <w:color w:val="auto"/>
          <w:kern w:val="0"/>
          <w:sz w:val="24"/>
        </w:rPr>
        <w:t>供应商名称：       （全称并加盖公章）              .</w:t>
      </w:r>
    </w:p>
    <w:p w14:paraId="697D0C04">
      <w:pPr>
        <w:widowControl/>
        <w:spacing w:before="75" w:after="75" w:line="435" w:lineRule="atLeast"/>
        <w:rPr>
          <w:rFonts w:ascii="宋体" w:hAnsi="宋体" w:cs="宋体"/>
          <w:color w:val="auto"/>
          <w:kern w:val="0"/>
          <w:sz w:val="24"/>
        </w:rPr>
      </w:pPr>
      <w:r>
        <w:rPr>
          <w:rFonts w:ascii="宋体" w:hAnsi="宋体" w:cs="宋体"/>
          <w:color w:val="auto"/>
          <w:kern w:val="0"/>
          <w:sz w:val="24"/>
        </w:rPr>
        <w:t>日  期：     年    月    日</w:t>
      </w:r>
    </w:p>
    <w:p w14:paraId="10514A5D">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w:t>
      </w:r>
    </w:p>
    <w:p w14:paraId="71D8DB3D">
      <w:pPr>
        <w:widowControl/>
        <w:spacing w:before="75" w:after="75"/>
        <w:jc w:val="left"/>
        <w:rPr>
          <w:rFonts w:ascii="宋体" w:hAnsi="宋体" w:cs="宋体"/>
          <w:color w:val="auto"/>
          <w:kern w:val="0"/>
          <w:sz w:val="24"/>
        </w:rPr>
      </w:pPr>
      <w:r>
        <w:rPr>
          <w:rFonts w:ascii="宋体" w:hAnsi="宋体" w:cs="宋体"/>
          <w:color w:val="auto"/>
          <w:kern w:val="0"/>
          <w:sz w:val="24"/>
        </w:rPr>
        <w:br w:type="textWrapping"/>
      </w:r>
    </w:p>
    <w:p w14:paraId="62747513">
      <w:pPr>
        <w:widowControl/>
        <w:spacing w:before="75" w:after="75"/>
        <w:jc w:val="left"/>
        <w:rPr>
          <w:rFonts w:ascii="宋体" w:hAnsi="宋体" w:cs="宋体"/>
          <w:color w:val="auto"/>
          <w:kern w:val="0"/>
          <w:sz w:val="24"/>
        </w:rPr>
      </w:pPr>
    </w:p>
    <w:p w14:paraId="4D887094">
      <w:pPr>
        <w:widowControl/>
        <w:spacing w:before="75" w:after="75"/>
        <w:jc w:val="left"/>
        <w:rPr>
          <w:rFonts w:ascii="宋体" w:hAnsi="宋体" w:cs="宋体"/>
          <w:color w:val="auto"/>
          <w:kern w:val="0"/>
          <w:sz w:val="24"/>
        </w:rPr>
      </w:pPr>
      <w:r>
        <w:rPr>
          <w:rFonts w:ascii="宋体" w:hAnsi="宋体" w:cs="宋体"/>
          <w:color w:val="auto"/>
          <w:kern w:val="0"/>
          <w:sz w:val="24"/>
        </w:rPr>
        <w:t>附件3         </w:t>
      </w:r>
      <w:r>
        <w:rPr>
          <w:rFonts w:ascii="宋体" w:hAnsi="宋体" w:cs="宋体"/>
          <w:b/>
          <w:bCs/>
          <w:color w:val="auto"/>
          <w:kern w:val="0"/>
          <w:sz w:val="24"/>
        </w:rPr>
        <w:t>资格证明文件</w:t>
      </w:r>
      <w:r>
        <w:rPr>
          <w:rFonts w:ascii="宋体" w:hAnsi="宋体" w:cs="宋体"/>
          <w:color w:val="auto"/>
          <w:kern w:val="0"/>
          <w:sz w:val="24"/>
        </w:rPr>
        <w:t> </w:t>
      </w:r>
    </w:p>
    <w:p w14:paraId="5438FC13">
      <w:pPr>
        <w:widowControl/>
        <w:spacing w:before="75" w:after="75"/>
        <w:jc w:val="left"/>
        <w:rPr>
          <w:rFonts w:ascii="宋体" w:hAnsi="宋体" w:cs="宋体"/>
          <w:color w:val="auto"/>
          <w:kern w:val="0"/>
          <w:sz w:val="24"/>
        </w:rPr>
      </w:pPr>
      <w:r>
        <w:rPr>
          <w:rFonts w:ascii="宋体" w:hAnsi="宋体" w:cs="宋体"/>
          <w:color w:val="auto"/>
          <w:kern w:val="0"/>
          <w:sz w:val="24"/>
        </w:rPr>
        <w:t> </w:t>
      </w:r>
    </w:p>
    <w:p w14:paraId="314B91BC">
      <w:pPr>
        <w:widowControl/>
        <w:spacing w:before="75" w:after="75" w:line="465" w:lineRule="atLeast"/>
        <w:jc w:val="left"/>
        <w:rPr>
          <w:rFonts w:ascii="宋体" w:hAnsi="宋体" w:cs="宋体"/>
          <w:color w:val="auto"/>
          <w:kern w:val="0"/>
          <w:sz w:val="24"/>
        </w:rPr>
      </w:pPr>
      <w:r>
        <w:rPr>
          <w:rFonts w:ascii="宋体" w:hAnsi="宋体" w:cs="宋体"/>
          <w:color w:val="auto"/>
          <w:kern w:val="0"/>
          <w:sz w:val="24"/>
        </w:rPr>
        <w:t>附件3-1       </w:t>
      </w:r>
      <w:r>
        <w:rPr>
          <w:rFonts w:ascii="宋体" w:hAnsi="宋体" w:cs="宋体"/>
          <w:b/>
          <w:bCs/>
          <w:color w:val="auto"/>
          <w:kern w:val="0"/>
          <w:sz w:val="24"/>
        </w:rPr>
        <w:t>参加竞争性谈判的声明函</w:t>
      </w:r>
      <w:r>
        <w:rPr>
          <w:rFonts w:ascii="宋体" w:hAnsi="宋体" w:cs="宋体"/>
          <w:color w:val="auto"/>
          <w:kern w:val="0"/>
          <w:sz w:val="24"/>
        </w:rPr>
        <w:t> </w:t>
      </w:r>
    </w:p>
    <w:p w14:paraId="4C067A65">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w:t>
      </w:r>
    </w:p>
    <w:p w14:paraId="4E7D7376">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致：(采购人或采购代理机构</w:t>
      </w:r>
      <w:r>
        <w:rPr>
          <w:rFonts w:ascii="Calibri" w:hAnsi="Calibri" w:cs="宋体"/>
          <w:color w:val="auto"/>
          <w:kern w:val="0"/>
          <w:sz w:val="24"/>
        </w:rPr>
        <w:t>)       </w:t>
      </w:r>
      <w:r>
        <w:rPr>
          <w:rFonts w:ascii="宋体" w:hAnsi="宋体" w:cs="宋体"/>
          <w:color w:val="auto"/>
          <w:kern w:val="0"/>
          <w:sz w:val="24"/>
        </w:rPr>
        <w:t> </w:t>
      </w:r>
    </w:p>
    <w:p w14:paraId="4F64A318">
      <w:pPr>
        <w:widowControl/>
        <w:spacing w:before="75" w:after="75" w:line="435" w:lineRule="atLeast"/>
        <w:rPr>
          <w:rFonts w:ascii="宋体" w:hAnsi="宋体" w:cs="宋体"/>
          <w:color w:val="auto"/>
          <w:kern w:val="0"/>
          <w:sz w:val="24"/>
        </w:rPr>
      </w:pPr>
      <w:r>
        <w:rPr>
          <w:rFonts w:ascii="宋体" w:hAnsi="宋体" w:cs="宋体"/>
          <w:color w:val="auto"/>
          <w:kern w:val="0"/>
          <w:sz w:val="24"/>
        </w:rPr>
        <w:t> 1、关于贵方______年______月______日</w:t>
      </w:r>
      <w:r>
        <w:rPr>
          <w:rFonts w:hint="eastAsia" w:ascii="宋体" w:hAnsi="宋体" w:cs="宋体"/>
          <w:color w:val="auto"/>
          <w:kern w:val="0"/>
          <w:sz w:val="24"/>
          <w:lang w:val="en-US" w:eastAsia="zh-CN"/>
        </w:rPr>
        <w:t xml:space="preserve">  </w:t>
      </w:r>
      <w:r>
        <w:rPr>
          <w:rFonts w:ascii="宋体" w:hAnsi="宋体" w:cs="宋体"/>
          <w:color w:val="auto"/>
          <w:kern w:val="0"/>
          <w:sz w:val="24"/>
        </w:rPr>
        <w:t>项目（项目编号:       ）的采购公告（或采购邀请），本签字人代表供应商参加竞争性谈判，我方提供竞争性谈判文件中规定的相应资料和说明。本签字人确认响应文件中所有提交的文件、声明或资料（包括但不限于资格证明文件）是真实的、合法的、准确的、有效的。</w:t>
      </w:r>
    </w:p>
    <w:p w14:paraId="71345FCC">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w:t>
      </w:r>
    </w:p>
    <w:p w14:paraId="487F8DD7">
      <w:pPr>
        <w:widowControl/>
        <w:spacing w:before="75" w:after="75" w:line="360" w:lineRule="atLeast"/>
        <w:ind w:left="540"/>
        <w:jc w:val="left"/>
        <w:rPr>
          <w:rFonts w:ascii="宋体" w:hAnsi="宋体" w:cs="宋体"/>
          <w:color w:val="auto"/>
          <w:kern w:val="0"/>
          <w:sz w:val="24"/>
        </w:rPr>
      </w:pPr>
      <w:r>
        <w:rPr>
          <w:rFonts w:ascii="宋体" w:hAnsi="宋体" w:cs="宋体"/>
          <w:color w:val="auto"/>
          <w:kern w:val="0"/>
          <w:sz w:val="24"/>
        </w:rPr>
        <w:t>2、供应商的基本概况：</w:t>
      </w:r>
      <w:r>
        <w:rPr>
          <w:rFonts w:ascii="宋体" w:hAnsi="宋体" w:cs="宋体"/>
          <w:color w:val="auto"/>
          <w:kern w:val="0"/>
          <w:sz w:val="24"/>
        </w:rPr>
        <w:br w:type="textWrapping"/>
      </w:r>
      <w:r>
        <w:rPr>
          <w:rFonts w:ascii="宋体" w:hAnsi="宋体" w:cs="宋体"/>
          <w:color w:val="auto"/>
          <w:kern w:val="0"/>
          <w:sz w:val="24"/>
        </w:rPr>
        <w:t>2.1供应商单位名称：                    </w:t>
      </w:r>
      <w:r>
        <w:rPr>
          <w:rFonts w:ascii="宋体" w:hAnsi="宋体" w:cs="宋体"/>
          <w:color w:val="auto"/>
          <w:kern w:val="0"/>
          <w:sz w:val="24"/>
        </w:rPr>
        <w:br w:type="textWrapping"/>
      </w:r>
      <w:r>
        <w:rPr>
          <w:rFonts w:ascii="宋体" w:hAnsi="宋体" w:cs="宋体"/>
          <w:color w:val="auto"/>
          <w:kern w:val="0"/>
          <w:sz w:val="24"/>
        </w:rPr>
        <w:t>2.2注册地址：                   </w:t>
      </w:r>
      <w:r>
        <w:rPr>
          <w:rFonts w:ascii="宋体" w:hAnsi="宋体" w:cs="宋体"/>
          <w:color w:val="auto"/>
          <w:kern w:val="0"/>
          <w:sz w:val="24"/>
        </w:rPr>
        <w:br w:type="textWrapping"/>
      </w:r>
      <w:r>
        <w:rPr>
          <w:rFonts w:ascii="宋体" w:hAnsi="宋体" w:cs="宋体"/>
          <w:color w:val="auto"/>
          <w:kern w:val="0"/>
          <w:sz w:val="24"/>
        </w:rPr>
        <w:t>2.3单位负责人姓名：      性别：  年龄： 职务：      。</w:t>
      </w:r>
    </w:p>
    <w:p w14:paraId="1A809329">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备注：“单位负责人”指单位法定代表人（供应商为法人的）或法律、法规规定代表单位行使职权的主要负责人（供应商为其他组织的）。</w:t>
      </w:r>
    </w:p>
    <w:p w14:paraId="45CF8403">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对于接受联合体形式的谈判且供应商是联合体的，则联合体各成员都应当提交本资格证明文件。</w:t>
      </w:r>
    </w:p>
    <w:p w14:paraId="23D47A09">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w:t>
      </w:r>
    </w:p>
    <w:p w14:paraId="1E92C169">
      <w:pPr>
        <w:widowControl/>
        <w:spacing w:before="75" w:after="75" w:line="435" w:lineRule="atLeast"/>
        <w:rPr>
          <w:rFonts w:ascii="宋体" w:hAnsi="宋体" w:cs="宋体"/>
          <w:color w:val="auto"/>
          <w:kern w:val="0"/>
          <w:sz w:val="24"/>
        </w:rPr>
      </w:pPr>
      <w:r>
        <w:rPr>
          <w:rFonts w:ascii="宋体" w:hAnsi="宋体" w:cs="宋体"/>
          <w:color w:val="auto"/>
          <w:kern w:val="0"/>
          <w:sz w:val="24"/>
        </w:rPr>
        <w:t>供应商代表：             （签字） </w:t>
      </w:r>
    </w:p>
    <w:p w14:paraId="7B848104">
      <w:pPr>
        <w:widowControl/>
        <w:spacing w:before="75" w:after="75" w:line="435" w:lineRule="atLeast"/>
        <w:rPr>
          <w:rFonts w:ascii="宋体" w:hAnsi="宋体" w:cs="宋体"/>
          <w:color w:val="auto"/>
          <w:kern w:val="0"/>
          <w:sz w:val="24"/>
        </w:rPr>
      </w:pPr>
      <w:r>
        <w:rPr>
          <w:rFonts w:ascii="宋体" w:hAnsi="宋体" w:cs="宋体"/>
          <w:color w:val="auto"/>
          <w:kern w:val="0"/>
          <w:sz w:val="24"/>
        </w:rPr>
        <w:t xml:space="preserve">供应商名称：         （全称并加盖公章） </w:t>
      </w:r>
    </w:p>
    <w:p w14:paraId="5A164CE1">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日  期：     年    月    日</w:t>
      </w:r>
    </w:p>
    <w:p w14:paraId="6717AB61">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w:t>
      </w:r>
    </w:p>
    <w:p w14:paraId="5FC5A7A4">
      <w:pPr>
        <w:widowControl/>
        <w:spacing w:before="75" w:after="75" w:line="375" w:lineRule="atLeast"/>
        <w:jc w:val="left"/>
        <w:rPr>
          <w:rFonts w:ascii="宋体" w:hAnsi="宋体" w:cs="宋体"/>
          <w:color w:val="auto"/>
          <w:kern w:val="0"/>
          <w:sz w:val="24"/>
        </w:rPr>
      </w:pPr>
    </w:p>
    <w:p w14:paraId="67A3AD4C">
      <w:pPr>
        <w:widowControl/>
        <w:spacing w:before="75" w:after="75" w:line="375" w:lineRule="atLeast"/>
        <w:jc w:val="left"/>
        <w:rPr>
          <w:rFonts w:ascii="宋体" w:hAnsi="宋体" w:cs="宋体"/>
          <w:color w:val="auto"/>
          <w:kern w:val="0"/>
          <w:sz w:val="24"/>
        </w:rPr>
      </w:pPr>
    </w:p>
    <w:p w14:paraId="13BF6B5F">
      <w:pPr>
        <w:widowControl/>
        <w:spacing w:before="75" w:after="75" w:line="375" w:lineRule="atLeast"/>
        <w:jc w:val="left"/>
        <w:rPr>
          <w:rFonts w:ascii="宋体" w:hAnsi="宋体" w:cs="宋体"/>
          <w:color w:val="auto"/>
          <w:kern w:val="0"/>
          <w:sz w:val="24"/>
        </w:rPr>
      </w:pPr>
    </w:p>
    <w:p w14:paraId="61956A45">
      <w:pPr>
        <w:widowControl/>
        <w:spacing w:before="75" w:after="75" w:line="375" w:lineRule="atLeast"/>
        <w:jc w:val="left"/>
        <w:rPr>
          <w:rFonts w:ascii="宋体" w:hAnsi="宋体" w:cs="宋体"/>
          <w:color w:val="auto"/>
          <w:kern w:val="0"/>
          <w:sz w:val="24"/>
        </w:rPr>
      </w:pPr>
    </w:p>
    <w:p w14:paraId="1FF38989">
      <w:pPr>
        <w:widowControl/>
        <w:spacing w:before="75" w:after="75" w:line="375" w:lineRule="atLeast"/>
        <w:jc w:val="left"/>
        <w:rPr>
          <w:rFonts w:ascii="宋体" w:hAnsi="宋体" w:cs="宋体"/>
          <w:color w:val="auto"/>
          <w:kern w:val="0"/>
          <w:sz w:val="24"/>
        </w:rPr>
      </w:pPr>
    </w:p>
    <w:p w14:paraId="0259D68A">
      <w:pPr>
        <w:widowControl/>
        <w:spacing w:before="75" w:after="75" w:line="375" w:lineRule="atLeast"/>
        <w:jc w:val="left"/>
        <w:rPr>
          <w:rFonts w:ascii="宋体" w:hAnsi="宋体" w:cs="宋体"/>
          <w:color w:val="auto"/>
          <w:kern w:val="0"/>
          <w:sz w:val="24"/>
        </w:rPr>
      </w:pPr>
      <w:r>
        <w:rPr>
          <w:rFonts w:ascii="宋体" w:hAnsi="宋体" w:cs="宋体"/>
          <w:color w:val="auto"/>
          <w:kern w:val="0"/>
          <w:sz w:val="24"/>
        </w:rPr>
        <w:br w:type="textWrapping"/>
      </w:r>
    </w:p>
    <w:p w14:paraId="4A922A93">
      <w:pPr>
        <w:widowControl/>
        <w:spacing w:before="75" w:after="75" w:line="375" w:lineRule="atLeast"/>
        <w:jc w:val="left"/>
        <w:rPr>
          <w:rFonts w:ascii="宋体" w:hAnsi="宋体" w:cs="宋体"/>
          <w:color w:val="auto"/>
          <w:kern w:val="0"/>
          <w:sz w:val="24"/>
        </w:rPr>
      </w:pPr>
      <w:r>
        <w:rPr>
          <w:rFonts w:ascii="宋体" w:hAnsi="宋体" w:cs="宋体"/>
          <w:color w:val="auto"/>
          <w:kern w:val="0"/>
          <w:sz w:val="24"/>
        </w:rPr>
        <w:t>附件3-2        </w:t>
      </w:r>
      <w:r>
        <w:rPr>
          <w:rFonts w:ascii="宋体" w:hAnsi="宋体" w:cs="宋体"/>
          <w:b/>
          <w:bCs/>
          <w:color w:val="auto"/>
          <w:kern w:val="0"/>
          <w:sz w:val="24"/>
        </w:rPr>
        <w:t>供应商的资格声明</w:t>
      </w:r>
      <w:r>
        <w:rPr>
          <w:rFonts w:ascii="宋体" w:hAnsi="宋体" w:cs="宋体"/>
          <w:color w:val="auto"/>
          <w:kern w:val="0"/>
          <w:sz w:val="24"/>
        </w:rPr>
        <w:t> </w:t>
      </w:r>
    </w:p>
    <w:p w14:paraId="3CDAFA1C">
      <w:pPr>
        <w:widowControl/>
        <w:spacing w:before="75" w:after="75" w:line="375" w:lineRule="atLeast"/>
        <w:rPr>
          <w:rFonts w:ascii="宋体" w:hAnsi="宋体" w:cs="宋体"/>
          <w:color w:val="auto"/>
          <w:kern w:val="0"/>
          <w:sz w:val="24"/>
        </w:rPr>
      </w:pPr>
      <w:r>
        <w:rPr>
          <w:rFonts w:ascii="宋体" w:hAnsi="宋体" w:cs="宋体"/>
          <w:color w:val="auto"/>
          <w:kern w:val="0"/>
          <w:sz w:val="24"/>
        </w:rPr>
        <w:t> </w:t>
      </w:r>
    </w:p>
    <w:p w14:paraId="50F96B37">
      <w:pPr>
        <w:widowControl/>
        <w:spacing w:before="75" w:after="75" w:line="375" w:lineRule="atLeast"/>
        <w:rPr>
          <w:rFonts w:ascii="宋体" w:hAnsi="宋体" w:cs="宋体"/>
          <w:color w:val="auto"/>
          <w:kern w:val="0"/>
          <w:sz w:val="24"/>
        </w:rPr>
      </w:pPr>
      <w:r>
        <w:rPr>
          <w:rFonts w:ascii="宋体" w:hAnsi="宋体" w:cs="宋体"/>
          <w:color w:val="auto"/>
          <w:kern w:val="0"/>
          <w:sz w:val="24"/>
        </w:rPr>
        <w:t xml:space="preserve">致：(采购人或采购代理机构)       </w:t>
      </w:r>
    </w:p>
    <w:p w14:paraId="004C630B">
      <w:pPr>
        <w:widowControl/>
        <w:spacing w:before="75" w:after="75" w:line="375" w:lineRule="atLeast"/>
        <w:rPr>
          <w:rFonts w:ascii="宋体" w:hAnsi="宋体" w:cs="宋体"/>
          <w:color w:val="auto"/>
          <w:kern w:val="0"/>
          <w:sz w:val="24"/>
        </w:rPr>
      </w:pPr>
      <w:r>
        <w:rPr>
          <w:rFonts w:ascii="宋体" w:hAnsi="宋体" w:cs="宋体"/>
          <w:b/>
          <w:bCs/>
          <w:color w:val="auto"/>
          <w:kern w:val="0"/>
          <w:sz w:val="24"/>
        </w:rPr>
        <w:t>    1、</w:t>
      </w:r>
      <w:r>
        <w:rPr>
          <w:rFonts w:ascii="宋体" w:hAnsi="宋体" w:cs="宋体"/>
          <w:color w:val="auto"/>
          <w:kern w:val="0"/>
          <w:sz w:val="24"/>
        </w:rPr>
        <w:t>我方已知晓竞争性谈判文件要求并认真审核自身情况，在此郑重声明，我方具备并满足下列各项条款的规定。本声明如有虚假或不实之处，我方将失去合格供应商资格且我方的谈判保证金将不予退还。</w:t>
      </w:r>
    </w:p>
    <w:tbl>
      <w:tblPr>
        <w:tblStyle w:val="14"/>
        <w:tblW w:w="8520" w:type="dxa"/>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5625"/>
        <w:gridCol w:w="2895"/>
      </w:tblGrid>
      <w:tr w14:paraId="38EC050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5580" w:type="dxa"/>
            <w:tcBorders>
              <w:top w:val="outset" w:color="auto" w:sz="6" w:space="0"/>
              <w:left w:val="outset" w:color="auto" w:sz="6" w:space="0"/>
              <w:bottom w:val="outset" w:color="auto" w:sz="6" w:space="0"/>
              <w:right w:val="outset" w:color="auto" w:sz="6" w:space="0"/>
            </w:tcBorders>
            <w:tcMar>
              <w:top w:w="0" w:type="dxa"/>
              <w:left w:w="105" w:type="dxa"/>
              <w:bottom w:w="0" w:type="dxa"/>
              <w:right w:w="105" w:type="dxa"/>
            </w:tcMar>
            <w:vAlign w:val="center"/>
          </w:tcPr>
          <w:p w14:paraId="213852E5">
            <w:pPr>
              <w:widowControl/>
              <w:spacing w:line="375" w:lineRule="atLeast"/>
              <w:rPr>
                <w:rFonts w:ascii="宋体" w:hAnsi="宋体" w:cs="宋体"/>
                <w:color w:val="auto"/>
                <w:kern w:val="0"/>
                <w:sz w:val="24"/>
              </w:rPr>
            </w:pPr>
            <w:r>
              <w:rPr>
                <w:rFonts w:ascii="宋体" w:hAnsi="宋体" w:cs="宋体"/>
                <w:b/>
                <w:bCs/>
                <w:color w:val="auto"/>
                <w:kern w:val="0"/>
                <w:sz w:val="24"/>
              </w:rPr>
              <w:t>《中华人民共和国政府采购法》第二十二条对供应商的要求</w:t>
            </w:r>
          </w:p>
        </w:tc>
        <w:tc>
          <w:tcPr>
            <w:tcW w:w="2850" w:type="dxa"/>
            <w:tcBorders>
              <w:top w:val="outset" w:color="auto" w:sz="6" w:space="0"/>
              <w:left w:val="single" w:color="auto" w:sz="0" w:space="0"/>
              <w:bottom w:val="outset" w:color="auto" w:sz="6" w:space="0"/>
              <w:right w:val="outset" w:color="auto" w:sz="6" w:space="0"/>
            </w:tcBorders>
            <w:tcMar>
              <w:top w:w="0" w:type="dxa"/>
              <w:left w:w="105" w:type="dxa"/>
              <w:bottom w:w="0" w:type="dxa"/>
              <w:right w:w="105" w:type="dxa"/>
            </w:tcMar>
            <w:vAlign w:val="center"/>
          </w:tcPr>
          <w:p w14:paraId="2B194C6B">
            <w:pPr>
              <w:widowControl/>
              <w:spacing w:line="375" w:lineRule="atLeast"/>
              <w:rPr>
                <w:rFonts w:ascii="宋体" w:hAnsi="宋体" w:cs="宋体"/>
                <w:color w:val="auto"/>
                <w:kern w:val="0"/>
                <w:sz w:val="24"/>
              </w:rPr>
            </w:pPr>
            <w:r>
              <w:rPr>
                <w:rFonts w:ascii="宋体" w:hAnsi="宋体" w:cs="宋体"/>
                <w:b/>
                <w:bCs/>
                <w:color w:val="auto"/>
                <w:kern w:val="0"/>
                <w:sz w:val="24"/>
              </w:rPr>
              <w:t>供应商对是否符合要求做如实声明</w:t>
            </w:r>
          </w:p>
        </w:tc>
      </w:tr>
      <w:tr w14:paraId="7E7D13F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5580" w:type="dxa"/>
            <w:tcBorders>
              <w:top w:val="single" w:color="auto" w:sz="0" w:space="0"/>
              <w:left w:val="outset" w:color="auto" w:sz="6" w:space="0"/>
              <w:bottom w:val="outset" w:color="auto" w:sz="6" w:space="0"/>
              <w:right w:val="outset" w:color="auto" w:sz="6" w:space="0"/>
            </w:tcBorders>
            <w:tcMar>
              <w:top w:w="0" w:type="dxa"/>
              <w:left w:w="105" w:type="dxa"/>
              <w:bottom w:w="0" w:type="dxa"/>
              <w:right w:w="105" w:type="dxa"/>
            </w:tcMar>
            <w:vAlign w:val="center"/>
          </w:tcPr>
          <w:p w14:paraId="06359C29">
            <w:pPr>
              <w:widowControl/>
              <w:spacing w:line="375" w:lineRule="atLeast"/>
              <w:rPr>
                <w:rFonts w:ascii="宋体" w:hAnsi="宋体" w:cs="宋体"/>
                <w:color w:val="auto"/>
                <w:kern w:val="0"/>
                <w:sz w:val="24"/>
              </w:rPr>
            </w:pPr>
            <w:r>
              <w:rPr>
                <w:rFonts w:ascii="宋体" w:hAnsi="宋体" w:cs="宋体"/>
                <w:color w:val="auto"/>
                <w:kern w:val="0"/>
                <w:sz w:val="24"/>
              </w:rPr>
              <w:t>（1）具有独立承担民事责任的能力</w:t>
            </w:r>
          </w:p>
        </w:tc>
        <w:tc>
          <w:tcPr>
            <w:tcW w:w="2850"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14:paraId="7BEC1D8C">
            <w:pPr>
              <w:widowControl/>
              <w:jc w:val="left"/>
              <w:rPr>
                <w:rFonts w:ascii="宋体" w:hAnsi="宋体" w:cs="宋体"/>
                <w:color w:val="auto"/>
                <w:kern w:val="0"/>
                <w:sz w:val="24"/>
              </w:rPr>
            </w:pPr>
          </w:p>
        </w:tc>
      </w:tr>
      <w:tr w14:paraId="39FFD8A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5580" w:type="dxa"/>
            <w:tcBorders>
              <w:top w:val="single" w:color="auto" w:sz="0" w:space="0"/>
              <w:left w:val="outset" w:color="auto" w:sz="6" w:space="0"/>
              <w:bottom w:val="outset" w:color="auto" w:sz="6" w:space="0"/>
              <w:right w:val="outset" w:color="auto" w:sz="6" w:space="0"/>
            </w:tcBorders>
            <w:tcMar>
              <w:top w:w="0" w:type="dxa"/>
              <w:left w:w="105" w:type="dxa"/>
              <w:bottom w:w="0" w:type="dxa"/>
              <w:right w:w="105" w:type="dxa"/>
            </w:tcMar>
            <w:vAlign w:val="center"/>
          </w:tcPr>
          <w:p w14:paraId="31888500">
            <w:pPr>
              <w:widowControl/>
              <w:spacing w:line="375" w:lineRule="atLeast"/>
              <w:rPr>
                <w:rFonts w:ascii="宋体" w:hAnsi="宋体" w:cs="宋体"/>
                <w:color w:val="auto"/>
                <w:kern w:val="0"/>
                <w:sz w:val="24"/>
              </w:rPr>
            </w:pPr>
            <w:r>
              <w:rPr>
                <w:rFonts w:ascii="宋体" w:hAnsi="宋体" w:cs="宋体"/>
                <w:color w:val="auto"/>
                <w:kern w:val="0"/>
                <w:sz w:val="24"/>
              </w:rPr>
              <w:t>（2）具有良好的商业信誉和健全的财务会计制度</w:t>
            </w:r>
          </w:p>
        </w:tc>
        <w:tc>
          <w:tcPr>
            <w:tcW w:w="2850"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14:paraId="460CCB45">
            <w:pPr>
              <w:widowControl/>
              <w:jc w:val="left"/>
              <w:rPr>
                <w:rFonts w:ascii="宋体" w:hAnsi="宋体" w:cs="宋体"/>
                <w:color w:val="auto"/>
                <w:kern w:val="0"/>
                <w:sz w:val="24"/>
              </w:rPr>
            </w:pPr>
          </w:p>
        </w:tc>
      </w:tr>
      <w:tr w14:paraId="5FFE68A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5580" w:type="dxa"/>
            <w:tcBorders>
              <w:top w:val="single" w:color="auto" w:sz="0" w:space="0"/>
              <w:left w:val="outset" w:color="auto" w:sz="6" w:space="0"/>
              <w:bottom w:val="outset" w:color="auto" w:sz="6" w:space="0"/>
              <w:right w:val="outset" w:color="auto" w:sz="6" w:space="0"/>
            </w:tcBorders>
            <w:tcMar>
              <w:top w:w="0" w:type="dxa"/>
              <w:left w:w="105" w:type="dxa"/>
              <w:bottom w:w="0" w:type="dxa"/>
              <w:right w:w="105" w:type="dxa"/>
            </w:tcMar>
            <w:vAlign w:val="center"/>
          </w:tcPr>
          <w:p w14:paraId="414B8769">
            <w:pPr>
              <w:widowControl/>
              <w:spacing w:line="375" w:lineRule="atLeast"/>
              <w:rPr>
                <w:rFonts w:ascii="宋体" w:hAnsi="宋体" w:cs="宋体"/>
                <w:color w:val="auto"/>
                <w:kern w:val="0"/>
                <w:sz w:val="24"/>
              </w:rPr>
            </w:pPr>
            <w:r>
              <w:rPr>
                <w:rFonts w:ascii="宋体" w:hAnsi="宋体" w:cs="宋体"/>
                <w:color w:val="auto"/>
                <w:kern w:val="0"/>
                <w:sz w:val="24"/>
              </w:rPr>
              <w:t>（3）具有履行合同所必需的设备和专业技术能力</w:t>
            </w:r>
          </w:p>
        </w:tc>
        <w:tc>
          <w:tcPr>
            <w:tcW w:w="2850"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14:paraId="78ECDCF3">
            <w:pPr>
              <w:widowControl/>
              <w:jc w:val="left"/>
              <w:rPr>
                <w:rFonts w:ascii="宋体" w:hAnsi="宋体" w:cs="宋体"/>
                <w:color w:val="auto"/>
                <w:kern w:val="0"/>
                <w:sz w:val="24"/>
              </w:rPr>
            </w:pPr>
          </w:p>
        </w:tc>
      </w:tr>
      <w:tr w14:paraId="7A5CB1D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5580" w:type="dxa"/>
            <w:tcBorders>
              <w:top w:val="single" w:color="auto" w:sz="0" w:space="0"/>
              <w:left w:val="outset" w:color="auto" w:sz="6" w:space="0"/>
              <w:bottom w:val="outset" w:color="auto" w:sz="6" w:space="0"/>
              <w:right w:val="outset" w:color="auto" w:sz="6" w:space="0"/>
            </w:tcBorders>
            <w:tcMar>
              <w:top w:w="0" w:type="dxa"/>
              <w:left w:w="105" w:type="dxa"/>
              <w:bottom w:w="0" w:type="dxa"/>
              <w:right w:w="105" w:type="dxa"/>
            </w:tcMar>
            <w:vAlign w:val="center"/>
          </w:tcPr>
          <w:p w14:paraId="70815693">
            <w:pPr>
              <w:widowControl/>
              <w:spacing w:line="375" w:lineRule="atLeast"/>
              <w:rPr>
                <w:rFonts w:ascii="宋体" w:hAnsi="宋体" w:cs="宋体"/>
                <w:color w:val="auto"/>
                <w:kern w:val="0"/>
                <w:sz w:val="24"/>
              </w:rPr>
            </w:pPr>
            <w:r>
              <w:rPr>
                <w:rFonts w:ascii="宋体" w:hAnsi="宋体" w:cs="宋体"/>
                <w:color w:val="auto"/>
                <w:kern w:val="0"/>
                <w:sz w:val="24"/>
              </w:rPr>
              <w:t>（4）有依法缴纳税收和社会保障资金的良好记录</w:t>
            </w:r>
          </w:p>
        </w:tc>
        <w:tc>
          <w:tcPr>
            <w:tcW w:w="2850"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14:paraId="3B2D5E5E">
            <w:pPr>
              <w:widowControl/>
              <w:jc w:val="left"/>
              <w:rPr>
                <w:rFonts w:ascii="宋体" w:hAnsi="宋体" w:cs="宋体"/>
                <w:color w:val="auto"/>
                <w:kern w:val="0"/>
                <w:sz w:val="24"/>
              </w:rPr>
            </w:pPr>
          </w:p>
        </w:tc>
      </w:tr>
      <w:tr w14:paraId="24DC8A2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5580" w:type="dxa"/>
            <w:tcBorders>
              <w:top w:val="single" w:color="auto" w:sz="0" w:space="0"/>
              <w:left w:val="outset" w:color="auto" w:sz="6" w:space="0"/>
              <w:bottom w:val="outset" w:color="auto" w:sz="6" w:space="0"/>
              <w:right w:val="outset" w:color="auto" w:sz="6" w:space="0"/>
            </w:tcBorders>
            <w:tcMar>
              <w:top w:w="0" w:type="dxa"/>
              <w:left w:w="105" w:type="dxa"/>
              <w:bottom w:w="0" w:type="dxa"/>
              <w:right w:w="105" w:type="dxa"/>
            </w:tcMar>
            <w:vAlign w:val="center"/>
          </w:tcPr>
          <w:p w14:paraId="7FC0774F">
            <w:pPr>
              <w:widowControl/>
              <w:spacing w:line="375" w:lineRule="atLeast"/>
              <w:rPr>
                <w:rFonts w:ascii="宋体" w:hAnsi="宋体" w:cs="宋体"/>
                <w:color w:val="auto"/>
                <w:kern w:val="0"/>
                <w:sz w:val="24"/>
              </w:rPr>
            </w:pPr>
            <w:r>
              <w:rPr>
                <w:rFonts w:ascii="宋体" w:hAnsi="宋体" w:cs="宋体"/>
                <w:color w:val="auto"/>
                <w:kern w:val="0"/>
                <w:sz w:val="24"/>
              </w:rPr>
              <w:t>（5）参加政府采购活动前三年内，在经营活动中没有重大违法记录</w:t>
            </w:r>
          </w:p>
        </w:tc>
        <w:tc>
          <w:tcPr>
            <w:tcW w:w="2850"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14:paraId="06A42368">
            <w:pPr>
              <w:widowControl/>
              <w:jc w:val="left"/>
              <w:rPr>
                <w:rFonts w:ascii="宋体" w:hAnsi="宋体" w:cs="宋体"/>
                <w:color w:val="auto"/>
                <w:kern w:val="0"/>
                <w:sz w:val="24"/>
              </w:rPr>
            </w:pPr>
          </w:p>
        </w:tc>
      </w:tr>
      <w:tr w14:paraId="67CB3E3C">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5580" w:type="dxa"/>
            <w:tcBorders>
              <w:top w:val="single" w:color="auto" w:sz="0" w:space="0"/>
              <w:left w:val="outset" w:color="auto" w:sz="6" w:space="0"/>
              <w:bottom w:val="outset" w:color="auto" w:sz="6" w:space="0"/>
              <w:right w:val="outset" w:color="auto" w:sz="6" w:space="0"/>
            </w:tcBorders>
            <w:tcMar>
              <w:top w:w="0" w:type="dxa"/>
              <w:left w:w="105" w:type="dxa"/>
              <w:bottom w:w="0" w:type="dxa"/>
              <w:right w:w="105" w:type="dxa"/>
            </w:tcMar>
            <w:vAlign w:val="center"/>
          </w:tcPr>
          <w:p w14:paraId="75D58D0C">
            <w:pPr>
              <w:widowControl/>
              <w:spacing w:line="375" w:lineRule="atLeast"/>
              <w:rPr>
                <w:rFonts w:ascii="宋体" w:hAnsi="宋体" w:cs="宋体"/>
                <w:color w:val="auto"/>
                <w:kern w:val="0"/>
                <w:sz w:val="24"/>
              </w:rPr>
            </w:pPr>
            <w:r>
              <w:rPr>
                <w:rFonts w:ascii="宋体" w:hAnsi="宋体" w:cs="宋体"/>
                <w:color w:val="auto"/>
                <w:kern w:val="0"/>
                <w:sz w:val="24"/>
              </w:rPr>
              <w:t>（6）法律、行政法规规定的其他条件。</w:t>
            </w:r>
          </w:p>
        </w:tc>
        <w:tc>
          <w:tcPr>
            <w:tcW w:w="2850"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14:paraId="24128CC6">
            <w:pPr>
              <w:widowControl/>
              <w:jc w:val="left"/>
              <w:rPr>
                <w:rFonts w:ascii="宋体" w:hAnsi="宋体" w:cs="宋体"/>
                <w:color w:val="auto"/>
                <w:kern w:val="0"/>
                <w:sz w:val="24"/>
              </w:rPr>
            </w:pPr>
          </w:p>
        </w:tc>
      </w:tr>
      <w:tr w14:paraId="62FA17F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5580" w:type="dxa"/>
            <w:tcBorders>
              <w:top w:val="single" w:color="auto" w:sz="0" w:space="0"/>
              <w:left w:val="outset" w:color="auto" w:sz="6" w:space="0"/>
              <w:bottom w:val="outset" w:color="auto" w:sz="6" w:space="0"/>
              <w:right w:val="outset" w:color="auto" w:sz="6" w:space="0"/>
            </w:tcBorders>
            <w:tcMar>
              <w:top w:w="0" w:type="dxa"/>
              <w:left w:w="105" w:type="dxa"/>
              <w:bottom w:w="0" w:type="dxa"/>
              <w:right w:w="105" w:type="dxa"/>
            </w:tcMar>
            <w:vAlign w:val="center"/>
          </w:tcPr>
          <w:p w14:paraId="219511B2">
            <w:pPr>
              <w:widowControl/>
              <w:spacing w:line="375" w:lineRule="atLeast"/>
              <w:rPr>
                <w:rFonts w:ascii="宋体" w:hAnsi="宋体" w:cs="宋体"/>
                <w:color w:val="auto"/>
                <w:kern w:val="0"/>
                <w:sz w:val="24"/>
              </w:rPr>
            </w:pPr>
            <w:r>
              <w:rPr>
                <w:rFonts w:ascii="宋体" w:hAnsi="宋体" w:cs="宋体"/>
                <w:b/>
                <w:bCs/>
                <w:color w:val="auto"/>
                <w:kern w:val="0"/>
                <w:sz w:val="24"/>
              </w:rPr>
              <w:t>谈判文件对合格供应商的一般规定</w:t>
            </w:r>
          </w:p>
        </w:tc>
        <w:tc>
          <w:tcPr>
            <w:tcW w:w="2850"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14:paraId="454FB4A4">
            <w:pPr>
              <w:widowControl/>
              <w:spacing w:line="375" w:lineRule="atLeast"/>
              <w:rPr>
                <w:rFonts w:ascii="宋体" w:hAnsi="宋体" w:cs="宋体"/>
                <w:color w:val="auto"/>
                <w:kern w:val="0"/>
                <w:sz w:val="24"/>
              </w:rPr>
            </w:pPr>
            <w:r>
              <w:rPr>
                <w:rFonts w:ascii="宋体" w:hAnsi="宋体" w:cs="宋体"/>
                <w:b/>
                <w:bCs/>
                <w:color w:val="auto"/>
                <w:kern w:val="0"/>
                <w:sz w:val="24"/>
              </w:rPr>
              <w:t>供应商对是否违反一般规定做如实声明</w:t>
            </w:r>
          </w:p>
        </w:tc>
      </w:tr>
      <w:tr w14:paraId="5E3F892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5580" w:type="dxa"/>
            <w:tcBorders>
              <w:top w:val="single" w:color="auto" w:sz="0" w:space="0"/>
              <w:left w:val="outset" w:color="auto" w:sz="6" w:space="0"/>
              <w:bottom w:val="outset" w:color="auto" w:sz="6" w:space="0"/>
              <w:right w:val="outset" w:color="auto" w:sz="6" w:space="0"/>
            </w:tcBorders>
            <w:tcMar>
              <w:top w:w="0" w:type="dxa"/>
              <w:left w:w="105" w:type="dxa"/>
              <w:bottom w:w="0" w:type="dxa"/>
              <w:right w:w="105" w:type="dxa"/>
            </w:tcMar>
            <w:vAlign w:val="center"/>
          </w:tcPr>
          <w:p w14:paraId="1675C931">
            <w:pPr>
              <w:widowControl/>
              <w:spacing w:line="375" w:lineRule="atLeast"/>
              <w:rPr>
                <w:rFonts w:ascii="宋体" w:hAnsi="宋体" w:cs="宋体"/>
                <w:color w:val="auto"/>
                <w:kern w:val="0"/>
                <w:sz w:val="24"/>
              </w:rPr>
            </w:pPr>
            <w:r>
              <w:rPr>
                <w:rFonts w:ascii="宋体" w:hAnsi="宋体" w:cs="宋体"/>
                <w:color w:val="auto"/>
                <w:kern w:val="0"/>
                <w:sz w:val="24"/>
              </w:rPr>
              <w:t>供应商应当遵守中国的有关法律、法规和规章的规定，参加政府采购活动时已经自觉检查并按照政府采购相关法律规定，主动回避相应利害关系。</w:t>
            </w:r>
          </w:p>
        </w:tc>
        <w:tc>
          <w:tcPr>
            <w:tcW w:w="2850"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14:paraId="45136708">
            <w:pPr>
              <w:widowControl/>
              <w:jc w:val="left"/>
              <w:rPr>
                <w:rFonts w:ascii="宋体" w:hAnsi="宋体" w:cs="宋体"/>
                <w:color w:val="auto"/>
                <w:kern w:val="0"/>
                <w:sz w:val="24"/>
              </w:rPr>
            </w:pPr>
          </w:p>
        </w:tc>
      </w:tr>
      <w:tr w14:paraId="4B383F1C">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5580" w:type="dxa"/>
            <w:tcBorders>
              <w:top w:val="single" w:color="auto" w:sz="0" w:space="0"/>
              <w:left w:val="outset" w:color="auto" w:sz="6" w:space="0"/>
              <w:bottom w:val="outset" w:color="auto" w:sz="6" w:space="0"/>
              <w:right w:val="outset" w:color="auto" w:sz="6" w:space="0"/>
            </w:tcBorders>
            <w:tcMar>
              <w:top w:w="0" w:type="dxa"/>
              <w:left w:w="105" w:type="dxa"/>
              <w:bottom w:w="0" w:type="dxa"/>
              <w:right w:w="105" w:type="dxa"/>
            </w:tcMar>
            <w:vAlign w:val="center"/>
          </w:tcPr>
          <w:p w14:paraId="1B7AD514">
            <w:pPr>
              <w:widowControl/>
              <w:spacing w:line="375" w:lineRule="atLeast"/>
              <w:rPr>
                <w:rFonts w:ascii="宋体" w:hAnsi="宋体" w:cs="宋体"/>
                <w:color w:val="auto"/>
                <w:kern w:val="0"/>
                <w:sz w:val="24"/>
              </w:rPr>
            </w:pPr>
            <w:r>
              <w:rPr>
                <w:rFonts w:ascii="宋体" w:hAnsi="宋体" w:cs="宋体"/>
                <w:color w:val="auto"/>
                <w:kern w:val="0"/>
                <w:sz w:val="24"/>
              </w:rPr>
              <w:t>为采购项目提供整体设计、规范编制或项目管理、监理、检测等服务的供应商，不得再参加该采购项目除整体设计、规范编制和项目管理、监理、检测等服务之外的其他采购活动。</w:t>
            </w:r>
          </w:p>
        </w:tc>
        <w:tc>
          <w:tcPr>
            <w:tcW w:w="2850"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14:paraId="45DBEE71">
            <w:pPr>
              <w:widowControl/>
              <w:jc w:val="left"/>
              <w:rPr>
                <w:rFonts w:ascii="宋体" w:hAnsi="宋体" w:cs="宋体"/>
                <w:color w:val="auto"/>
                <w:kern w:val="0"/>
                <w:sz w:val="24"/>
              </w:rPr>
            </w:pPr>
          </w:p>
        </w:tc>
      </w:tr>
      <w:tr w14:paraId="0079EEB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5580" w:type="dxa"/>
            <w:tcBorders>
              <w:top w:val="single" w:color="auto" w:sz="0" w:space="0"/>
              <w:left w:val="outset" w:color="auto" w:sz="6" w:space="0"/>
              <w:bottom w:val="outset" w:color="auto" w:sz="6" w:space="0"/>
              <w:right w:val="outset" w:color="auto" w:sz="6" w:space="0"/>
            </w:tcBorders>
            <w:tcMar>
              <w:top w:w="0" w:type="dxa"/>
              <w:left w:w="105" w:type="dxa"/>
              <w:bottom w:w="0" w:type="dxa"/>
              <w:right w:w="105" w:type="dxa"/>
            </w:tcMar>
            <w:vAlign w:val="center"/>
          </w:tcPr>
          <w:p w14:paraId="132992CA">
            <w:pPr>
              <w:widowControl/>
              <w:spacing w:line="375" w:lineRule="atLeast"/>
              <w:rPr>
                <w:rFonts w:ascii="宋体" w:hAnsi="宋体" w:cs="宋体"/>
                <w:color w:val="auto"/>
                <w:kern w:val="0"/>
                <w:sz w:val="24"/>
              </w:rPr>
            </w:pPr>
            <w:r>
              <w:rPr>
                <w:rFonts w:ascii="宋体" w:hAnsi="宋体" w:cs="宋体"/>
                <w:color w:val="auto"/>
                <w:kern w:val="0"/>
                <w:sz w:val="24"/>
              </w:rPr>
              <w:t>列入失信被执行人、重大税收违法案件当事人名单、政府采购严重违法失信行为记录名单的供应商，不得参加政府采购活动。</w:t>
            </w:r>
          </w:p>
        </w:tc>
        <w:tc>
          <w:tcPr>
            <w:tcW w:w="2850"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14:paraId="7F9540DD">
            <w:pPr>
              <w:widowControl/>
              <w:jc w:val="left"/>
              <w:rPr>
                <w:rFonts w:ascii="宋体" w:hAnsi="宋体" w:cs="宋体"/>
                <w:color w:val="auto"/>
                <w:kern w:val="0"/>
                <w:sz w:val="24"/>
              </w:rPr>
            </w:pPr>
          </w:p>
        </w:tc>
      </w:tr>
    </w:tbl>
    <w:p w14:paraId="26DF53F1">
      <w:pPr>
        <w:widowControl/>
        <w:spacing w:before="75" w:after="75" w:line="375" w:lineRule="atLeast"/>
        <w:ind w:firstLine="480"/>
        <w:rPr>
          <w:rFonts w:ascii="宋体" w:hAnsi="宋体" w:cs="宋体"/>
          <w:color w:val="auto"/>
          <w:kern w:val="0"/>
          <w:sz w:val="24"/>
        </w:rPr>
      </w:pPr>
      <w:r>
        <w:rPr>
          <w:rFonts w:ascii="宋体" w:hAnsi="宋体" w:cs="宋体"/>
          <w:color w:val="auto"/>
          <w:kern w:val="0"/>
          <w:sz w:val="24"/>
        </w:rPr>
        <w:t>2、我方对上述声明的真实性、合法性、准确性、有效性负责，并愿意根据谈判文件和谈判过程中贵方要求提供全部现有资料、数据、文件等予以证实。</w:t>
      </w:r>
    </w:p>
    <w:p w14:paraId="5607D539">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备注：对于接受联合体形式的谈判且供应商是联合体的，则联合体各成员都应当提交本资格证明文件。</w:t>
      </w:r>
    </w:p>
    <w:p w14:paraId="4C591579">
      <w:pPr>
        <w:widowControl/>
        <w:spacing w:before="75" w:after="75" w:line="375" w:lineRule="atLeast"/>
        <w:rPr>
          <w:rFonts w:ascii="宋体" w:hAnsi="宋体" w:cs="宋体"/>
          <w:color w:val="auto"/>
          <w:kern w:val="0"/>
          <w:sz w:val="24"/>
        </w:rPr>
      </w:pPr>
      <w:r>
        <w:rPr>
          <w:rFonts w:ascii="宋体" w:hAnsi="宋体" w:cs="宋体"/>
          <w:color w:val="auto"/>
          <w:kern w:val="0"/>
          <w:sz w:val="24"/>
        </w:rPr>
        <w:t>供应商代表：             （签字） </w:t>
      </w:r>
    </w:p>
    <w:p w14:paraId="0A5F2BEE">
      <w:pPr>
        <w:widowControl/>
        <w:spacing w:before="75" w:after="75" w:line="375" w:lineRule="atLeast"/>
        <w:rPr>
          <w:rFonts w:ascii="宋体" w:hAnsi="宋体" w:cs="宋体"/>
          <w:color w:val="auto"/>
          <w:kern w:val="0"/>
          <w:sz w:val="24"/>
        </w:rPr>
      </w:pPr>
      <w:r>
        <w:rPr>
          <w:rFonts w:ascii="宋体" w:hAnsi="宋体" w:cs="宋体"/>
          <w:color w:val="auto"/>
          <w:kern w:val="0"/>
          <w:sz w:val="24"/>
        </w:rPr>
        <w:t>供应商名称：         （全称并加盖公章）  </w:t>
      </w:r>
    </w:p>
    <w:p w14:paraId="2A3108C3">
      <w:pPr>
        <w:widowControl/>
        <w:spacing w:before="75" w:after="75" w:line="375" w:lineRule="atLeast"/>
        <w:jc w:val="left"/>
        <w:rPr>
          <w:rFonts w:ascii="宋体" w:hAnsi="宋体" w:cs="宋体"/>
          <w:color w:val="auto"/>
          <w:kern w:val="0"/>
          <w:sz w:val="24"/>
        </w:rPr>
      </w:pPr>
      <w:r>
        <w:rPr>
          <w:rFonts w:ascii="宋体" w:hAnsi="宋体" w:cs="宋体"/>
          <w:color w:val="auto"/>
          <w:kern w:val="0"/>
          <w:sz w:val="24"/>
        </w:rPr>
        <w:t>日  期：     年    月    日</w:t>
      </w:r>
      <w:r>
        <w:rPr>
          <w:rFonts w:ascii="宋体" w:hAnsi="宋体" w:cs="宋体"/>
          <w:color w:val="auto"/>
          <w:kern w:val="0"/>
          <w:sz w:val="24"/>
        </w:rPr>
        <w:br w:type="page"/>
      </w:r>
    </w:p>
    <w:p w14:paraId="49A0C2C4">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附件3-3       </w:t>
      </w:r>
    </w:p>
    <w:p w14:paraId="6570A6D3">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w:t>
      </w:r>
      <w:r>
        <w:rPr>
          <w:rFonts w:hint="eastAsia" w:ascii="宋体" w:hAnsi="宋体" w:cs="宋体"/>
          <w:color w:val="auto"/>
          <w:kern w:val="0"/>
          <w:sz w:val="24"/>
          <w:lang w:val="en-US" w:eastAsia="zh-CN"/>
        </w:rPr>
        <w:t xml:space="preserve">                 </w:t>
      </w:r>
      <w:r>
        <w:rPr>
          <w:rFonts w:ascii="宋体" w:hAnsi="宋体" w:cs="宋体"/>
          <w:b/>
          <w:bCs/>
          <w:color w:val="auto"/>
          <w:kern w:val="0"/>
          <w:sz w:val="28"/>
          <w:szCs w:val="28"/>
        </w:rPr>
        <w:t>单位负责人授权书</w:t>
      </w:r>
    </w:p>
    <w:p w14:paraId="05A827EA">
      <w:pPr>
        <w:widowControl/>
        <w:spacing w:before="75" w:after="75" w:line="405" w:lineRule="atLeast"/>
        <w:jc w:val="left"/>
        <w:rPr>
          <w:rFonts w:ascii="宋体" w:hAnsi="宋体" w:cs="宋体"/>
          <w:color w:val="auto"/>
          <w:kern w:val="0"/>
          <w:sz w:val="24"/>
        </w:rPr>
      </w:pPr>
      <w:r>
        <w:rPr>
          <w:rFonts w:ascii="宋体" w:hAnsi="宋体" w:cs="宋体"/>
          <w:color w:val="auto"/>
          <w:kern w:val="0"/>
          <w:sz w:val="24"/>
        </w:rPr>
        <w:t> </w:t>
      </w:r>
    </w:p>
    <w:p w14:paraId="7379B0D2">
      <w:pPr>
        <w:widowControl/>
        <w:spacing w:before="75" w:after="75" w:line="360" w:lineRule="atLeast"/>
        <w:jc w:val="left"/>
        <w:rPr>
          <w:rFonts w:ascii="宋体" w:hAnsi="宋体" w:cs="宋体"/>
          <w:color w:val="auto"/>
          <w:kern w:val="0"/>
          <w:sz w:val="24"/>
        </w:rPr>
      </w:pPr>
      <w:r>
        <w:rPr>
          <w:rFonts w:ascii="宋体" w:hAnsi="宋体" w:cs="宋体"/>
          <w:color w:val="auto"/>
          <w:kern w:val="0"/>
          <w:sz w:val="24"/>
        </w:rPr>
        <w:t>致：(采购人或采购代理机构</w:t>
      </w:r>
      <w:r>
        <w:rPr>
          <w:rFonts w:ascii="Calibri" w:hAnsi="Calibri" w:cs="宋体"/>
          <w:color w:val="auto"/>
          <w:kern w:val="0"/>
          <w:sz w:val="24"/>
        </w:rPr>
        <w:t>)      </w:t>
      </w:r>
      <w:r>
        <w:rPr>
          <w:rFonts w:ascii="宋体" w:hAnsi="宋体" w:cs="宋体"/>
          <w:color w:val="auto"/>
          <w:kern w:val="0"/>
          <w:sz w:val="24"/>
        </w:rPr>
        <w:t> </w:t>
      </w:r>
    </w:p>
    <w:p w14:paraId="0BF32B0A">
      <w:pPr>
        <w:widowControl/>
        <w:spacing w:before="75" w:after="75" w:line="360" w:lineRule="atLeast"/>
        <w:ind w:firstLine="480"/>
        <w:jc w:val="left"/>
        <w:rPr>
          <w:rFonts w:ascii="宋体" w:hAnsi="宋体" w:cs="宋体"/>
          <w:color w:val="auto"/>
          <w:kern w:val="0"/>
          <w:sz w:val="24"/>
        </w:rPr>
      </w:pPr>
      <w:r>
        <w:rPr>
          <w:rFonts w:ascii="宋体" w:hAnsi="宋体" w:cs="宋体"/>
          <w:color w:val="auto"/>
          <w:kern w:val="0"/>
          <w:sz w:val="24"/>
        </w:rPr>
        <w:t>我方的单位负责人（填写“单位负责人全名”）授权（填写“供应商代表全名”）为我方的供应商代表，代表我方参加  （填写“项目名称”）   项目（项目编号：         ）的响应谈判，全权代表我方处理响应谈判过程的一切事宜，包括但不限于：递交响应文件、参与谈判、澄清、签约等工作。供应商代表在响应谈判过程中所签署的一切文件和处理与之有关的一切事务，我方均予以认可并对此承担责任。</w:t>
      </w:r>
    </w:p>
    <w:p w14:paraId="7F73F637">
      <w:pPr>
        <w:widowControl/>
        <w:spacing w:before="75" w:after="75" w:line="360" w:lineRule="atLeast"/>
        <w:jc w:val="left"/>
        <w:rPr>
          <w:rFonts w:ascii="宋体" w:hAnsi="宋体" w:cs="宋体"/>
          <w:color w:val="auto"/>
          <w:kern w:val="0"/>
          <w:sz w:val="24"/>
        </w:rPr>
      </w:pPr>
      <w:r>
        <w:rPr>
          <w:rFonts w:ascii="宋体" w:hAnsi="宋体" w:cs="宋体"/>
          <w:color w:val="auto"/>
          <w:kern w:val="0"/>
          <w:sz w:val="24"/>
        </w:rPr>
        <w:t>    供应商代表无转委权。特此授权。</w:t>
      </w:r>
    </w:p>
    <w:p w14:paraId="0068884D">
      <w:pPr>
        <w:widowControl/>
        <w:spacing w:before="75" w:after="75" w:line="360" w:lineRule="atLeast"/>
        <w:jc w:val="center"/>
        <w:rPr>
          <w:rFonts w:ascii="宋体" w:hAnsi="宋体" w:cs="宋体"/>
          <w:color w:val="auto"/>
          <w:kern w:val="0"/>
          <w:sz w:val="24"/>
        </w:rPr>
      </w:pPr>
      <w:r>
        <w:rPr>
          <w:rFonts w:ascii="宋体" w:hAnsi="宋体" w:cs="宋体"/>
          <w:color w:val="auto"/>
          <w:kern w:val="0"/>
          <w:sz w:val="24"/>
        </w:rPr>
        <w:t>（以下无正文）</w:t>
      </w:r>
    </w:p>
    <w:p w14:paraId="52B91746">
      <w:pPr>
        <w:widowControl/>
        <w:spacing w:before="75" w:after="75" w:line="360" w:lineRule="atLeast"/>
        <w:jc w:val="left"/>
        <w:rPr>
          <w:rFonts w:ascii="宋体" w:hAnsi="宋体" w:cs="宋体"/>
          <w:color w:val="auto"/>
          <w:kern w:val="0"/>
          <w:sz w:val="24"/>
        </w:rPr>
      </w:pPr>
      <w:r>
        <w:rPr>
          <w:rFonts w:ascii="宋体" w:hAnsi="宋体" w:cs="宋体"/>
          <w:color w:val="auto"/>
          <w:kern w:val="0"/>
          <w:sz w:val="24"/>
        </w:rPr>
        <w:t>单位负责人：         </w:t>
      </w:r>
    </w:p>
    <w:p w14:paraId="22644C69">
      <w:pPr>
        <w:widowControl/>
        <w:spacing w:before="75" w:after="75" w:line="360" w:lineRule="atLeast"/>
        <w:jc w:val="left"/>
        <w:rPr>
          <w:rFonts w:ascii="宋体" w:hAnsi="宋体" w:cs="宋体"/>
          <w:color w:val="auto"/>
          <w:kern w:val="0"/>
          <w:sz w:val="24"/>
        </w:rPr>
      </w:pPr>
      <w:r>
        <w:rPr>
          <w:rFonts w:ascii="宋体" w:hAnsi="宋体" w:cs="宋体"/>
          <w:color w:val="auto"/>
          <w:kern w:val="0"/>
          <w:sz w:val="24"/>
        </w:rPr>
        <w:t xml:space="preserve">身份证号：            </w:t>
      </w:r>
    </w:p>
    <w:p w14:paraId="5E6F129D">
      <w:pPr>
        <w:widowControl/>
        <w:spacing w:before="75" w:after="75" w:line="360" w:lineRule="atLeast"/>
        <w:jc w:val="left"/>
        <w:rPr>
          <w:rFonts w:ascii="宋体" w:hAnsi="宋体" w:cs="宋体"/>
          <w:color w:val="auto"/>
          <w:kern w:val="0"/>
          <w:sz w:val="24"/>
        </w:rPr>
      </w:pPr>
      <w:r>
        <w:rPr>
          <w:rFonts w:ascii="宋体" w:hAnsi="宋体" w:cs="宋体"/>
          <w:color w:val="auto"/>
          <w:kern w:val="0"/>
          <w:sz w:val="24"/>
        </w:rPr>
        <w:t>手机：              </w:t>
      </w:r>
    </w:p>
    <w:p w14:paraId="02EE722A">
      <w:pPr>
        <w:widowControl/>
        <w:spacing w:before="75" w:after="75" w:line="360" w:lineRule="atLeast"/>
        <w:jc w:val="left"/>
        <w:rPr>
          <w:rFonts w:ascii="宋体" w:hAnsi="宋体" w:cs="宋体"/>
          <w:color w:val="auto"/>
          <w:kern w:val="0"/>
          <w:sz w:val="24"/>
        </w:rPr>
      </w:pPr>
      <w:r>
        <w:rPr>
          <w:rFonts w:ascii="宋体" w:hAnsi="宋体" w:cs="宋体"/>
          <w:color w:val="auto"/>
          <w:kern w:val="0"/>
          <w:sz w:val="24"/>
        </w:rPr>
        <w:t>供应商代表：         </w:t>
      </w:r>
    </w:p>
    <w:p w14:paraId="517A8F8A">
      <w:pPr>
        <w:widowControl/>
        <w:spacing w:before="75" w:after="75" w:line="360" w:lineRule="atLeast"/>
        <w:jc w:val="left"/>
        <w:rPr>
          <w:rFonts w:ascii="宋体" w:hAnsi="宋体" w:cs="宋体"/>
          <w:color w:val="auto"/>
          <w:kern w:val="0"/>
          <w:sz w:val="24"/>
        </w:rPr>
      </w:pPr>
      <w:r>
        <w:rPr>
          <w:rFonts w:ascii="宋体" w:hAnsi="宋体" w:cs="宋体"/>
          <w:color w:val="auto"/>
          <w:kern w:val="0"/>
          <w:sz w:val="24"/>
        </w:rPr>
        <w:t xml:space="preserve">身份证号：            </w:t>
      </w:r>
    </w:p>
    <w:p w14:paraId="160C30A1">
      <w:pPr>
        <w:widowControl/>
        <w:spacing w:before="75" w:after="75" w:line="360" w:lineRule="atLeast"/>
        <w:jc w:val="left"/>
        <w:rPr>
          <w:rFonts w:ascii="宋体" w:hAnsi="宋体" w:cs="宋体"/>
          <w:color w:val="auto"/>
          <w:kern w:val="0"/>
          <w:sz w:val="24"/>
        </w:rPr>
      </w:pPr>
      <w:r>
        <w:rPr>
          <w:rFonts w:ascii="宋体" w:hAnsi="宋体" w:cs="宋体"/>
          <w:color w:val="auto"/>
          <w:kern w:val="0"/>
          <w:sz w:val="24"/>
        </w:rPr>
        <w:t>手机：              </w:t>
      </w:r>
    </w:p>
    <w:p w14:paraId="273956F8">
      <w:pPr>
        <w:widowControl/>
        <w:spacing w:before="75" w:after="75" w:line="360" w:lineRule="atLeast"/>
        <w:jc w:val="left"/>
        <w:rPr>
          <w:rFonts w:ascii="宋体" w:hAnsi="宋体" w:cs="宋体"/>
          <w:color w:val="auto"/>
          <w:kern w:val="0"/>
          <w:sz w:val="24"/>
        </w:rPr>
      </w:pPr>
      <w:r>
        <w:rPr>
          <w:rFonts w:ascii="宋体" w:hAnsi="宋体" w:cs="宋体"/>
          <w:color w:val="auto"/>
          <w:kern w:val="0"/>
          <w:sz w:val="24"/>
        </w:rPr>
        <w:t> </w:t>
      </w:r>
    </w:p>
    <w:p w14:paraId="130AB1EA">
      <w:pPr>
        <w:widowControl/>
        <w:spacing w:before="75" w:after="75" w:line="360" w:lineRule="atLeast"/>
        <w:jc w:val="left"/>
        <w:rPr>
          <w:rFonts w:ascii="宋体" w:hAnsi="宋体" w:cs="宋体"/>
          <w:color w:val="auto"/>
          <w:kern w:val="0"/>
          <w:sz w:val="24"/>
        </w:rPr>
      </w:pPr>
      <w:r>
        <w:rPr>
          <w:rFonts w:ascii="宋体" w:hAnsi="宋体" w:cs="宋体"/>
          <w:color w:val="auto"/>
          <w:kern w:val="0"/>
          <w:sz w:val="24"/>
        </w:rPr>
        <w:t>授权方</w:t>
      </w:r>
    </w:p>
    <w:p w14:paraId="6B6F7564">
      <w:pPr>
        <w:widowControl/>
        <w:spacing w:before="75" w:after="75" w:line="360" w:lineRule="atLeast"/>
        <w:jc w:val="left"/>
        <w:rPr>
          <w:rFonts w:ascii="宋体" w:hAnsi="宋体" w:cs="宋体"/>
          <w:color w:val="auto"/>
          <w:kern w:val="0"/>
          <w:sz w:val="24"/>
        </w:rPr>
      </w:pPr>
      <w:r>
        <w:rPr>
          <w:rFonts w:ascii="宋体" w:hAnsi="宋体" w:cs="宋体"/>
          <w:color w:val="auto"/>
          <w:kern w:val="0"/>
          <w:sz w:val="24"/>
        </w:rPr>
        <w:t>供应商：（全称并加盖单位公章）</w:t>
      </w:r>
    </w:p>
    <w:p w14:paraId="343B3309">
      <w:pPr>
        <w:widowControl/>
        <w:spacing w:before="75" w:after="75" w:line="360" w:lineRule="atLeast"/>
        <w:jc w:val="left"/>
        <w:rPr>
          <w:rFonts w:ascii="宋体" w:hAnsi="宋体" w:cs="宋体"/>
          <w:color w:val="auto"/>
          <w:kern w:val="0"/>
          <w:sz w:val="24"/>
        </w:rPr>
      </w:pPr>
      <w:r>
        <w:rPr>
          <w:rFonts w:ascii="宋体" w:hAnsi="宋体" w:cs="宋体"/>
          <w:color w:val="auto"/>
          <w:kern w:val="0"/>
          <w:sz w:val="24"/>
        </w:rPr>
        <w:t>单位负责人签字或盖章：                   </w:t>
      </w:r>
    </w:p>
    <w:p w14:paraId="53EF8804">
      <w:pPr>
        <w:widowControl/>
        <w:spacing w:before="75" w:after="75" w:line="360" w:lineRule="atLeast"/>
        <w:jc w:val="left"/>
        <w:rPr>
          <w:rFonts w:ascii="宋体" w:hAnsi="宋体" w:cs="宋体"/>
          <w:color w:val="auto"/>
          <w:kern w:val="0"/>
          <w:sz w:val="24"/>
        </w:rPr>
      </w:pPr>
      <w:r>
        <w:rPr>
          <w:rFonts w:ascii="宋体" w:hAnsi="宋体" w:cs="宋体"/>
          <w:color w:val="auto"/>
          <w:kern w:val="0"/>
          <w:sz w:val="24"/>
        </w:rPr>
        <w:t> </w:t>
      </w:r>
    </w:p>
    <w:p w14:paraId="2549CF12">
      <w:pPr>
        <w:widowControl/>
        <w:spacing w:before="75" w:after="75" w:line="360" w:lineRule="atLeast"/>
        <w:jc w:val="left"/>
        <w:rPr>
          <w:rFonts w:ascii="宋体" w:hAnsi="宋体" w:cs="宋体"/>
          <w:color w:val="auto"/>
          <w:kern w:val="0"/>
          <w:sz w:val="24"/>
        </w:rPr>
      </w:pPr>
      <w:r>
        <w:rPr>
          <w:rFonts w:ascii="宋体" w:hAnsi="宋体" w:cs="宋体"/>
          <w:color w:val="auto"/>
          <w:kern w:val="0"/>
          <w:sz w:val="24"/>
        </w:rPr>
        <w:t>接受授权方</w:t>
      </w:r>
    </w:p>
    <w:p w14:paraId="2461528D">
      <w:pPr>
        <w:widowControl/>
        <w:spacing w:before="75" w:after="75" w:line="360" w:lineRule="atLeast"/>
        <w:jc w:val="left"/>
        <w:rPr>
          <w:rFonts w:ascii="宋体" w:hAnsi="宋体" w:cs="宋体"/>
          <w:color w:val="auto"/>
          <w:kern w:val="0"/>
          <w:sz w:val="24"/>
        </w:rPr>
      </w:pPr>
      <w:r>
        <w:rPr>
          <w:rFonts w:ascii="宋体" w:hAnsi="宋体" w:cs="宋体"/>
          <w:color w:val="auto"/>
          <w:kern w:val="0"/>
          <w:sz w:val="24"/>
        </w:rPr>
        <w:t>供应商代表签字：</w:t>
      </w:r>
      <w:r>
        <w:rPr>
          <w:rFonts w:ascii="宋体" w:hAnsi="宋体" w:cs="宋体"/>
          <w:color w:val="auto"/>
          <w:kern w:val="0"/>
          <w:sz w:val="24"/>
        </w:rPr>
        <w:br w:type="textWrapping"/>
      </w:r>
      <w:r>
        <w:rPr>
          <w:rFonts w:ascii="宋体" w:hAnsi="宋体" w:cs="宋体"/>
          <w:color w:val="auto"/>
          <w:kern w:val="0"/>
          <w:sz w:val="24"/>
        </w:rPr>
        <w:t>签署日期：    年   月   日</w:t>
      </w:r>
      <w:r>
        <w:rPr>
          <w:rFonts w:ascii="宋体" w:hAnsi="宋体" w:cs="宋体"/>
          <w:color w:val="auto"/>
          <w:kern w:val="0"/>
          <w:sz w:val="24"/>
        </w:rPr>
        <w:br w:type="textWrapping"/>
      </w:r>
      <w:r>
        <w:rPr>
          <w:rFonts w:ascii="宋体" w:hAnsi="宋体" w:cs="宋体"/>
          <w:color w:val="auto"/>
          <w:kern w:val="0"/>
          <w:sz w:val="24"/>
        </w:rPr>
        <w:t>                   </w:t>
      </w:r>
    </w:p>
    <w:p w14:paraId="26F0310E">
      <w:pPr>
        <w:widowControl/>
        <w:spacing w:before="75" w:after="75" w:line="360" w:lineRule="atLeast"/>
        <w:jc w:val="right"/>
        <w:rPr>
          <w:rFonts w:ascii="宋体" w:hAnsi="宋体" w:cs="宋体"/>
          <w:color w:val="auto"/>
          <w:kern w:val="0"/>
          <w:sz w:val="24"/>
        </w:rPr>
      </w:pPr>
    </w:p>
    <w:p w14:paraId="18DA82C4">
      <w:pPr>
        <w:widowControl/>
        <w:spacing w:before="75" w:after="75" w:line="405" w:lineRule="atLeast"/>
        <w:jc w:val="left"/>
        <w:rPr>
          <w:rFonts w:ascii="宋体" w:hAnsi="宋体" w:cs="宋体"/>
          <w:color w:val="auto"/>
          <w:kern w:val="0"/>
          <w:sz w:val="24"/>
        </w:rPr>
      </w:pPr>
      <w:r>
        <w:rPr>
          <w:rFonts w:ascii="宋体" w:hAnsi="宋体" w:cs="宋体"/>
          <w:color w:val="auto"/>
          <w:kern w:val="0"/>
          <w:sz w:val="24"/>
        </w:rPr>
        <w:t>附：单位负责人、供应商代表的身份证正反面复印件</w:t>
      </w:r>
    </w:p>
    <w:tbl>
      <w:tblPr>
        <w:tblStyle w:val="14"/>
        <w:tblW w:w="8565" w:type="dxa"/>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8565"/>
      </w:tblGrid>
      <w:tr w14:paraId="337ACDF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645" w:hRule="atLeast"/>
          <w:tblCellSpacing w:w="15" w:type="dxa"/>
        </w:trPr>
        <w:tc>
          <w:tcPr>
            <w:tcW w:w="8505" w:type="dxa"/>
            <w:tcBorders>
              <w:top w:val="outset" w:color="auto" w:sz="6" w:space="0"/>
              <w:left w:val="outset" w:color="auto" w:sz="6" w:space="0"/>
              <w:bottom w:val="outset" w:color="auto" w:sz="6" w:space="0"/>
              <w:right w:val="outset" w:color="auto" w:sz="6" w:space="0"/>
            </w:tcBorders>
            <w:tcMar>
              <w:top w:w="0" w:type="dxa"/>
              <w:left w:w="105" w:type="dxa"/>
              <w:bottom w:w="0" w:type="dxa"/>
              <w:right w:w="105" w:type="dxa"/>
            </w:tcMar>
            <w:vAlign w:val="center"/>
          </w:tcPr>
          <w:p w14:paraId="20F1DBA7">
            <w:pPr>
              <w:widowControl/>
              <w:spacing w:line="405" w:lineRule="atLeast"/>
              <w:jc w:val="center"/>
              <w:rPr>
                <w:rFonts w:ascii="宋体" w:hAnsi="宋体" w:cs="宋体"/>
                <w:color w:val="auto"/>
                <w:kern w:val="0"/>
                <w:sz w:val="24"/>
              </w:rPr>
            </w:pPr>
            <w:r>
              <w:rPr>
                <w:rFonts w:ascii="宋体" w:hAnsi="宋体" w:cs="宋体"/>
                <w:b/>
                <w:bCs/>
                <w:color w:val="auto"/>
                <w:kern w:val="0"/>
                <w:sz w:val="24"/>
              </w:rPr>
              <w:t> </w:t>
            </w:r>
          </w:p>
          <w:p w14:paraId="6DDA311D">
            <w:pPr>
              <w:widowControl/>
              <w:spacing w:line="405" w:lineRule="atLeast"/>
              <w:jc w:val="center"/>
              <w:rPr>
                <w:rFonts w:ascii="宋体" w:hAnsi="宋体" w:cs="宋体"/>
                <w:color w:val="auto"/>
                <w:kern w:val="0"/>
                <w:sz w:val="24"/>
              </w:rPr>
            </w:pPr>
            <w:r>
              <w:rPr>
                <w:rFonts w:ascii="宋体" w:hAnsi="宋体" w:cs="宋体"/>
                <w:b/>
                <w:bCs/>
                <w:color w:val="auto"/>
                <w:kern w:val="0"/>
                <w:sz w:val="24"/>
              </w:rPr>
              <w:t>要求：真实、有效、清晰</w:t>
            </w:r>
          </w:p>
          <w:p w14:paraId="63993164">
            <w:pPr>
              <w:widowControl/>
              <w:spacing w:line="405" w:lineRule="atLeast"/>
              <w:jc w:val="center"/>
              <w:rPr>
                <w:rFonts w:ascii="宋体" w:hAnsi="宋体" w:cs="宋体"/>
                <w:color w:val="auto"/>
                <w:kern w:val="0"/>
                <w:sz w:val="24"/>
              </w:rPr>
            </w:pPr>
            <w:r>
              <w:rPr>
                <w:rFonts w:ascii="宋体" w:hAnsi="宋体" w:cs="宋体"/>
                <w:b/>
                <w:bCs/>
                <w:color w:val="auto"/>
                <w:kern w:val="0"/>
                <w:sz w:val="24"/>
              </w:rPr>
              <w:t> </w:t>
            </w:r>
          </w:p>
        </w:tc>
      </w:tr>
    </w:tbl>
    <w:p w14:paraId="24B151E8">
      <w:pPr>
        <w:widowControl/>
        <w:spacing w:before="75" w:after="75" w:line="285" w:lineRule="atLeast"/>
        <w:rPr>
          <w:rFonts w:ascii="宋体" w:hAnsi="宋体" w:cs="宋体"/>
          <w:color w:val="auto"/>
          <w:kern w:val="0"/>
          <w:sz w:val="24"/>
        </w:rPr>
      </w:pPr>
      <w:r>
        <w:rPr>
          <w:rFonts w:hint="eastAsia" w:ascii="宋体" w:hAnsi="宋体" w:cs="宋体"/>
          <w:color w:val="auto"/>
          <w:kern w:val="0"/>
          <w:szCs w:val="21"/>
        </w:rPr>
        <w:t>★</w:t>
      </w:r>
      <w:r>
        <w:rPr>
          <w:rFonts w:ascii="宋体" w:hAnsi="宋体" w:cs="宋体"/>
          <w:color w:val="auto"/>
          <w:kern w:val="0"/>
          <w:szCs w:val="21"/>
        </w:rPr>
        <w:t>注意：</w:t>
      </w:r>
    </w:p>
    <w:p w14:paraId="733696EB">
      <w:pPr>
        <w:widowControl/>
        <w:spacing w:line="285" w:lineRule="atLeast"/>
        <w:jc w:val="left"/>
        <w:rPr>
          <w:rFonts w:ascii="宋体" w:hAnsi="宋体" w:cs="宋体"/>
          <w:color w:val="auto"/>
          <w:kern w:val="0"/>
          <w:sz w:val="24"/>
        </w:rPr>
      </w:pPr>
      <w:r>
        <w:rPr>
          <w:rFonts w:ascii="宋体" w:hAnsi="宋体" w:cs="宋体"/>
          <w:color w:val="auto"/>
          <w:kern w:val="0"/>
          <w:szCs w:val="21"/>
        </w:rPr>
        <w:t>1、企业（银行、保险、石油石化、电力、电信等行业除外）、事业单位和社会团体法人的“单位负责人”指</w:t>
      </w:r>
      <w:r>
        <w:rPr>
          <w:rFonts w:ascii="宋体" w:hAnsi="宋体" w:cs="宋体"/>
          <w:b/>
          <w:bCs/>
          <w:color w:val="auto"/>
          <w:kern w:val="0"/>
        </w:rPr>
        <w:t>法定代表人</w:t>
      </w:r>
      <w:r>
        <w:rPr>
          <w:rFonts w:ascii="宋体" w:hAnsi="宋体" w:cs="宋体"/>
          <w:color w:val="auto"/>
          <w:kern w:val="0"/>
          <w:szCs w:val="21"/>
        </w:rPr>
        <w:t>，即与实际提交的“营业执照等证明文件”载明的一致。</w:t>
      </w:r>
    </w:p>
    <w:p w14:paraId="1521BEFB">
      <w:pPr>
        <w:widowControl/>
        <w:spacing w:line="285" w:lineRule="atLeast"/>
        <w:jc w:val="left"/>
        <w:rPr>
          <w:rFonts w:ascii="宋体" w:hAnsi="宋体" w:cs="宋体"/>
          <w:color w:val="auto"/>
          <w:kern w:val="0"/>
          <w:sz w:val="24"/>
        </w:rPr>
      </w:pPr>
      <w:r>
        <w:rPr>
          <w:rFonts w:ascii="宋体" w:hAnsi="宋体" w:cs="宋体"/>
          <w:color w:val="auto"/>
          <w:kern w:val="0"/>
          <w:szCs w:val="21"/>
        </w:rPr>
        <w:t>2、银行、保险、石油石化、电力、电信等行业：以法人身份参加谈判的，“单位负责人”指</w:t>
      </w:r>
      <w:r>
        <w:rPr>
          <w:rFonts w:ascii="宋体" w:hAnsi="宋体" w:cs="宋体"/>
          <w:b/>
          <w:bCs/>
          <w:color w:val="auto"/>
          <w:kern w:val="0"/>
        </w:rPr>
        <w:t>法定代表人</w:t>
      </w:r>
      <w:r>
        <w:rPr>
          <w:rFonts w:ascii="宋体" w:hAnsi="宋体" w:cs="宋体"/>
          <w:color w:val="auto"/>
          <w:kern w:val="0"/>
          <w:szCs w:val="21"/>
        </w:rPr>
        <w:t>，即与实际提交的“营业执照等证明文件”载明的一致；以非法人身份参加谈判的，“单位负责人”指</w:t>
      </w:r>
      <w:r>
        <w:rPr>
          <w:rFonts w:ascii="宋体" w:hAnsi="宋体" w:cs="宋体"/>
          <w:b/>
          <w:bCs/>
          <w:color w:val="auto"/>
          <w:kern w:val="0"/>
        </w:rPr>
        <w:t>代表单位行使职权的主要负责人</w:t>
      </w:r>
      <w:r>
        <w:rPr>
          <w:rFonts w:ascii="宋体" w:hAnsi="宋体" w:cs="宋体"/>
          <w:color w:val="auto"/>
          <w:kern w:val="0"/>
          <w:szCs w:val="21"/>
        </w:rPr>
        <w:t>，即与实际提交的“营业执照等证明文件”载明的一致。</w:t>
      </w:r>
    </w:p>
    <w:p w14:paraId="771F0F8A">
      <w:pPr>
        <w:widowControl/>
        <w:spacing w:line="285" w:lineRule="atLeast"/>
        <w:jc w:val="left"/>
        <w:rPr>
          <w:rFonts w:ascii="宋体" w:hAnsi="宋体" w:cs="宋体"/>
          <w:color w:val="auto"/>
          <w:kern w:val="0"/>
          <w:sz w:val="24"/>
        </w:rPr>
      </w:pPr>
      <w:r>
        <w:rPr>
          <w:rFonts w:ascii="宋体" w:hAnsi="宋体" w:cs="宋体"/>
          <w:color w:val="auto"/>
          <w:kern w:val="0"/>
          <w:szCs w:val="21"/>
        </w:rPr>
        <w:t>3、负责响应文件签字的供应商代表如果不是上述规定的单位负责人，则供应商应当在响应文件中提供本授权书，纸质响应文件正本中的本授权书应为原件。供应商为自然人的，可不填写本授权书，但应当提供其身份证正反面复印件。</w:t>
      </w:r>
    </w:p>
    <w:p w14:paraId="4EB7C8A4">
      <w:pPr>
        <w:widowControl/>
        <w:spacing w:before="75" w:after="75" w:line="285" w:lineRule="atLeast"/>
        <w:rPr>
          <w:rFonts w:ascii="宋体" w:hAnsi="宋体" w:cs="宋体"/>
          <w:color w:val="auto"/>
          <w:kern w:val="0"/>
          <w:sz w:val="24"/>
        </w:rPr>
      </w:pPr>
      <w:r>
        <w:rPr>
          <w:rFonts w:ascii="宋体" w:hAnsi="宋体" w:cs="宋体"/>
          <w:color w:val="auto"/>
          <w:kern w:val="0"/>
          <w:szCs w:val="21"/>
        </w:rPr>
        <w:t>4、对于接受联合体形式的谈判且供应商是联合体的，则只需要联合体的牵头方提交本授权书，在纸质响应文件正本中的本授权书应为原件。</w:t>
      </w:r>
    </w:p>
    <w:p w14:paraId="59AAC831">
      <w:pPr>
        <w:widowControl/>
        <w:spacing w:before="75" w:after="75" w:line="435" w:lineRule="atLeast"/>
        <w:jc w:val="left"/>
        <w:rPr>
          <w:rFonts w:ascii="宋体" w:hAnsi="宋体" w:cs="宋体"/>
          <w:color w:val="auto"/>
          <w:kern w:val="0"/>
          <w:sz w:val="24"/>
        </w:rPr>
      </w:pPr>
    </w:p>
    <w:p w14:paraId="5A65C2FC">
      <w:pPr>
        <w:widowControl/>
        <w:spacing w:before="75" w:after="75" w:line="435" w:lineRule="atLeast"/>
        <w:jc w:val="left"/>
        <w:rPr>
          <w:rFonts w:ascii="宋体" w:hAnsi="宋体" w:cs="宋体"/>
          <w:color w:val="auto"/>
          <w:kern w:val="0"/>
          <w:sz w:val="24"/>
        </w:rPr>
      </w:pPr>
    </w:p>
    <w:p w14:paraId="34012362">
      <w:pPr>
        <w:widowControl/>
        <w:spacing w:before="75" w:after="75" w:line="435" w:lineRule="atLeast"/>
        <w:jc w:val="left"/>
        <w:rPr>
          <w:rFonts w:ascii="宋体" w:hAnsi="宋体" w:cs="宋体"/>
          <w:color w:val="auto"/>
          <w:kern w:val="0"/>
          <w:sz w:val="24"/>
        </w:rPr>
      </w:pPr>
    </w:p>
    <w:p w14:paraId="647FF60D">
      <w:pPr>
        <w:widowControl/>
        <w:spacing w:before="75" w:after="75" w:line="435" w:lineRule="atLeast"/>
        <w:jc w:val="left"/>
        <w:rPr>
          <w:rFonts w:ascii="宋体" w:hAnsi="宋体" w:cs="宋体"/>
          <w:color w:val="auto"/>
          <w:kern w:val="0"/>
          <w:sz w:val="24"/>
        </w:rPr>
      </w:pPr>
    </w:p>
    <w:p w14:paraId="5C5DFE1A">
      <w:pPr>
        <w:widowControl/>
        <w:spacing w:before="75" w:after="75" w:line="435" w:lineRule="atLeast"/>
        <w:jc w:val="left"/>
        <w:rPr>
          <w:rFonts w:ascii="宋体" w:hAnsi="宋体" w:cs="宋体"/>
          <w:color w:val="auto"/>
          <w:kern w:val="0"/>
          <w:sz w:val="24"/>
        </w:rPr>
      </w:pPr>
    </w:p>
    <w:p w14:paraId="2C02DE24">
      <w:pPr>
        <w:widowControl/>
        <w:spacing w:before="75" w:after="75" w:line="435" w:lineRule="atLeast"/>
        <w:jc w:val="left"/>
        <w:rPr>
          <w:rFonts w:ascii="宋体" w:hAnsi="宋体" w:cs="宋体"/>
          <w:color w:val="auto"/>
          <w:kern w:val="0"/>
          <w:sz w:val="24"/>
        </w:rPr>
      </w:pPr>
    </w:p>
    <w:p w14:paraId="03B758FC">
      <w:pPr>
        <w:widowControl/>
        <w:spacing w:before="75" w:after="75" w:line="435" w:lineRule="atLeast"/>
        <w:jc w:val="left"/>
        <w:rPr>
          <w:rFonts w:ascii="宋体" w:hAnsi="宋体" w:cs="宋体"/>
          <w:color w:val="auto"/>
          <w:kern w:val="0"/>
          <w:sz w:val="24"/>
        </w:rPr>
      </w:pPr>
    </w:p>
    <w:p w14:paraId="3B116DFD">
      <w:pPr>
        <w:widowControl/>
        <w:spacing w:before="75" w:after="75" w:line="435" w:lineRule="atLeast"/>
        <w:jc w:val="left"/>
        <w:rPr>
          <w:rFonts w:ascii="宋体" w:hAnsi="宋体" w:cs="宋体"/>
          <w:color w:val="auto"/>
          <w:kern w:val="0"/>
          <w:sz w:val="24"/>
        </w:rPr>
      </w:pPr>
    </w:p>
    <w:p w14:paraId="2D8D89FD">
      <w:pPr>
        <w:widowControl/>
        <w:spacing w:before="75" w:after="75" w:line="435" w:lineRule="atLeast"/>
        <w:jc w:val="left"/>
        <w:rPr>
          <w:rFonts w:ascii="宋体" w:hAnsi="宋体" w:cs="宋体"/>
          <w:color w:val="auto"/>
          <w:kern w:val="0"/>
          <w:sz w:val="24"/>
        </w:rPr>
      </w:pPr>
    </w:p>
    <w:p w14:paraId="37EE9C89">
      <w:pPr>
        <w:widowControl/>
        <w:spacing w:before="75" w:after="75" w:line="435" w:lineRule="atLeast"/>
        <w:jc w:val="left"/>
        <w:rPr>
          <w:rFonts w:ascii="宋体" w:hAnsi="宋体" w:cs="宋体"/>
          <w:color w:val="auto"/>
          <w:kern w:val="0"/>
          <w:sz w:val="24"/>
        </w:rPr>
      </w:pPr>
    </w:p>
    <w:p w14:paraId="4B42CE77">
      <w:pPr>
        <w:widowControl/>
        <w:spacing w:before="75" w:after="75" w:line="435" w:lineRule="atLeast"/>
        <w:jc w:val="left"/>
        <w:rPr>
          <w:rFonts w:ascii="宋体" w:hAnsi="宋体" w:cs="宋体"/>
          <w:color w:val="auto"/>
          <w:kern w:val="0"/>
          <w:sz w:val="24"/>
        </w:rPr>
      </w:pPr>
    </w:p>
    <w:p w14:paraId="2C4BB8F3">
      <w:pPr>
        <w:widowControl/>
        <w:spacing w:before="75" w:after="75" w:line="435" w:lineRule="atLeast"/>
        <w:jc w:val="left"/>
        <w:rPr>
          <w:rFonts w:ascii="宋体" w:hAnsi="宋体" w:cs="宋体"/>
          <w:color w:val="auto"/>
          <w:kern w:val="0"/>
          <w:sz w:val="24"/>
        </w:rPr>
      </w:pPr>
    </w:p>
    <w:p w14:paraId="29816188">
      <w:pPr>
        <w:widowControl/>
        <w:spacing w:before="75" w:after="75" w:line="435" w:lineRule="atLeast"/>
        <w:jc w:val="left"/>
        <w:rPr>
          <w:rFonts w:ascii="宋体" w:hAnsi="宋体" w:cs="宋体"/>
          <w:color w:val="auto"/>
          <w:kern w:val="0"/>
          <w:sz w:val="24"/>
        </w:rPr>
      </w:pPr>
    </w:p>
    <w:p w14:paraId="681D76F2">
      <w:pPr>
        <w:widowControl/>
        <w:spacing w:before="75" w:after="75" w:line="435" w:lineRule="atLeast"/>
        <w:jc w:val="left"/>
        <w:rPr>
          <w:rFonts w:ascii="宋体" w:hAnsi="宋体" w:cs="宋体"/>
          <w:color w:val="auto"/>
          <w:kern w:val="0"/>
          <w:sz w:val="24"/>
        </w:rPr>
      </w:pPr>
    </w:p>
    <w:p w14:paraId="2245CCDA">
      <w:pPr>
        <w:widowControl/>
        <w:spacing w:before="75" w:after="75" w:line="435" w:lineRule="atLeast"/>
        <w:jc w:val="left"/>
        <w:rPr>
          <w:rFonts w:ascii="宋体" w:hAnsi="宋体" w:cs="宋体"/>
          <w:color w:val="auto"/>
          <w:kern w:val="0"/>
          <w:sz w:val="24"/>
        </w:rPr>
      </w:pPr>
    </w:p>
    <w:p w14:paraId="39D6807E">
      <w:pPr>
        <w:widowControl/>
        <w:spacing w:before="75" w:after="75" w:line="435" w:lineRule="atLeast"/>
        <w:jc w:val="left"/>
        <w:rPr>
          <w:rFonts w:ascii="宋体" w:hAnsi="宋体" w:cs="宋体"/>
          <w:color w:val="auto"/>
          <w:kern w:val="0"/>
          <w:sz w:val="24"/>
        </w:rPr>
      </w:pPr>
    </w:p>
    <w:p w14:paraId="44C8BC0E">
      <w:pPr>
        <w:widowControl/>
        <w:spacing w:before="75" w:after="75" w:line="435" w:lineRule="atLeast"/>
        <w:jc w:val="left"/>
        <w:rPr>
          <w:rFonts w:ascii="宋体" w:hAnsi="宋体" w:cs="宋体"/>
          <w:color w:val="auto"/>
          <w:kern w:val="0"/>
          <w:sz w:val="24"/>
        </w:rPr>
      </w:pPr>
    </w:p>
    <w:p w14:paraId="1B883D8D">
      <w:pPr>
        <w:widowControl/>
        <w:spacing w:before="75" w:after="75" w:line="435" w:lineRule="atLeast"/>
        <w:jc w:val="left"/>
        <w:rPr>
          <w:rFonts w:ascii="宋体" w:hAnsi="宋体" w:cs="宋体"/>
          <w:color w:val="auto"/>
          <w:kern w:val="0"/>
          <w:sz w:val="24"/>
        </w:rPr>
      </w:pPr>
    </w:p>
    <w:p w14:paraId="0C9D4F12">
      <w:pPr>
        <w:widowControl/>
        <w:spacing w:before="75" w:after="75" w:line="435" w:lineRule="atLeast"/>
        <w:jc w:val="left"/>
        <w:rPr>
          <w:rFonts w:ascii="宋体" w:hAnsi="宋体" w:cs="宋体"/>
          <w:color w:val="auto"/>
          <w:kern w:val="0"/>
          <w:sz w:val="24"/>
        </w:rPr>
      </w:pPr>
    </w:p>
    <w:p w14:paraId="282C1CCA">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附件3-4</w:t>
      </w:r>
      <w:r>
        <w:rPr>
          <w:rFonts w:hint="eastAsia" w:ascii="宋体" w:hAnsi="宋体" w:cs="宋体"/>
          <w:color w:val="auto"/>
          <w:kern w:val="0"/>
          <w:sz w:val="24"/>
          <w:lang w:val="en-US" w:eastAsia="zh-CN"/>
        </w:rPr>
        <w:t xml:space="preserve">       </w:t>
      </w:r>
    </w:p>
    <w:p w14:paraId="79659CF7">
      <w:pPr>
        <w:widowControl/>
        <w:spacing w:before="75" w:after="75" w:line="435" w:lineRule="atLeast"/>
        <w:ind w:firstLine="964" w:firstLineChars="400"/>
        <w:jc w:val="left"/>
        <w:rPr>
          <w:rFonts w:ascii="宋体" w:hAnsi="宋体" w:cs="宋体"/>
          <w:color w:val="auto"/>
          <w:kern w:val="0"/>
          <w:sz w:val="24"/>
        </w:rPr>
      </w:pPr>
      <w:r>
        <w:rPr>
          <w:rFonts w:ascii="宋体" w:hAnsi="宋体" w:cs="宋体"/>
          <w:b/>
          <w:bCs/>
          <w:color w:val="auto"/>
          <w:kern w:val="0"/>
          <w:sz w:val="24"/>
        </w:rPr>
        <w:t>       营业执照等证明文件</w:t>
      </w:r>
    </w:p>
    <w:p w14:paraId="3D9106ED">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w:t>
      </w:r>
    </w:p>
    <w:p w14:paraId="433AAC29">
      <w:pPr>
        <w:widowControl/>
        <w:spacing w:before="75" w:after="75"/>
        <w:jc w:val="left"/>
        <w:rPr>
          <w:rFonts w:ascii="宋体" w:hAnsi="宋体" w:cs="宋体"/>
          <w:color w:val="auto"/>
          <w:kern w:val="0"/>
          <w:sz w:val="24"/>
        </w:rPr>
      </w:pPr>
      <w:r>
        <w:rPr>
          <w:rFonts w:ascii="宋体" w:hAnsi="宋体" w:cs="宋体"/>
          <w:color w:val="auto"/>
          <w:kern w:val="0"/>
          <w:sz w:val="24"/>
        </w:rPr>
        <w:t>致：(采购人或采购代理机构)        </w:t>
      </w:r>
    </w:p>
    <w:p w14:paraId="0E25A194">
      <w:pPr>
        <w:widowControl/>
        <w:spacing w:before="75" w:after="75"/>
        <w:ind w:firstLine="420"/>
        <w:jc w:val="left"/>
        <w:rPr>
          <w:rFonts w:ascii="宋体" w:hAnsi="宋体" w:cs="宋体"/>
          <w:color w:val="auto"/>
          <w:kern w:val="0"/>
          <w:sz w:val="24"/>
        </w:rPr>
      </w:pPr>
      <w:r>
        <w:rPr>
          <w:rFonts w:ascii="宋体" w:hAnsi="宋体" w:cs="宋体"/>
          <w:color w:val="auto"/>
          <w:kern w:val="0"/>
          <w:sz w:val="24"/>
        </w:rPr>
        <w:t>（ ）供应商为法人（包括企业、事业单位和社会团体）的</w:t>
      </w:r>
    </w:p>
    <w:p w14:paraId="00B0A7C0">
      <w:pPr>
        <w:widowControl/>
        <w:spacing w:before="75" w:after="75"/>
        <w:ind w:firstLine="420"/>
        <w:jc w:val="left"/>
        <w:rPr>
          <w:rFonts w:ascii="宋体" w:hAnsi="宋体" w:cs="宋体"/>
          <w:color w:val="auto"/>
          <w:kern w:val="0"/>
          <w:sz w:val="24"/>
        </w:rPr>
      </w:pPr>
      <w:r>
        <w:rPr>
          <w:rFonts w:ascii="宋体" w:hAnsi="宋体" w:cs="宋体"/>
          <w:color w:val="auto"/>
          <w:kern w:val="0"/>
          <w:sz w:val="24"/>
        </w:rPr>
        <w:t>现附上由（填写“签发机关全称”）签发的我方统一社会信用代码（请填写法人的具体证照名称）复印件，该证明材料真实有效，否则我方负全部责任。</w:t>
      </w:r>
    </w:p>
    <w:p w14:paraId="33F32AC2">
      <w:pPr>
        <w:widowControl/>
        <w:spacing w:before="75" w:after="75"/>
        <w:ind w:firstLine="420"/>
        <w:jc w:val="left"/>
        <w:rPr>
          <w:rFonts w:ascii="宋体" w:hAnsi="宋体" w:cs="宋体"/>
          <w:color w:val="auto"/>
          <w:kern w:val="0"/>
          <w:sz w:val="24"/>
        </w:rPr>
      </w:pPr>
      <w:r>
        <w:rPr>
          <w:rFonts w:ascii="宋体" w:hAnsi="宋体" w:cs="宋体"/>
          <w:color w:val="auto"/>
          <w:kern w:val="0"/>
          <w:sz w:val="24"/>
        </w:rPr>
        <w:t>（ ）供应商为非法人（包括其他组织、自然人）的</w:t>
      </w:r>
    </w:p>
    <w:p w14:paraId="4DFCFB2F">
      <w:pPr>
        <w:widowControl/>
        <w:spacing w:before="75" w:after="75"/>
        <w:ind w:firstLine="420"/>
        <w:jc w:val="left"/>
        <w:rPr>
          <w:rFonts w:ascii="宋体" w:hAnsi="宋体" w:cs="宋体"/>
          <w:color w:val="auto"/>
          <w:kern w:val="0"/>
          <w:sz w:val="24"/>
        </w:rPr>
      </w:pPr>
      <w:r>
        <w:rPr>
          <w:rFonts w:ascii="宋体" w:hAnsi="宋体" w:cs="宋体"/>
          <w:color w:val="auto"/>
          <w:kern w:val="0"/>
          <w:sz w:val="24"/>
        </w:rPr>
        <w:t>□现附上由（填写“签发机关全称”）签发的我方（请填写非自然人的非法人的具体证照名称）复印件，该证明材料真实有效，否则我方负全部责任。</w:t>
      </w:r>
    </w:p>
    <w:p w14:paraId="733FA60B">
      <w:pPr>
        <w:widowControl/>
        <w:spacing w:before="75" w:after="75"/>
        <w:ind w:firstLine="420"/>
        <w:jc w:val="left"/>
        <w:rPr>
          <w:rFonts w:ascii="宋体" w:hAnsi="宋体" w:cs="宋体"/>
          <w:color w:val="auto"/>
          <w:kern w:val="0"/>
          <w:sz w:val="24"/>
        </w:rPr>
      </w:pPr>
      <w:r>
        <w:rPr>
          <w:rFonts w:ascii="宋体" w:hAnsi="宋体" w:cs="宋体"/>
          <w:color w:val="auto"/>
          <w:kern w:val="0"/>
          <w:sz w:val="24"/>
        </w:rPr>
        <w:t>□现附上由（填写“签发机关全称”）签发的我方（请填写自然人的身份证件名称）复印件，该证明材料真实有效，否则我方负全部责任。</w:t>
      </w:r>
    </w:p>
    <w:p w14:paraId="071C2237">
      <w:pPr>
        <w:widowControl/>
        <w:spacing w:before="75" w:after="75"/>
        <w:jc w:val="left"/>
        <w:rPr>
          <w:rFonts w:ascii="宋体" w:hAnsi="宋体" w:cs="宋体"/>
          <w:color w:val="auto"/>
          <w:kern w:val="0"/>
          <w:sz w:val="24"/>
        </w:rPr>
      </w:pPr>
      <w:r>
        <w:rPr>
          <w:rFonts w:ascii="宋体" w:hAnsi="宋体" w:cs="宋体"/>
          <w:color w:val="auto"/>
          <w:kern w:val="0"/>
          <w:sz w:val="24"/>
        </w:rPr>
        <w:t> </w:t>
      </w:r>
    </w:p>
    <w:p w14:paraId="01B64CD2">
      <w:pPr>
        <w:widowControl/>
        <w:spacing w:before="75" w:after="75"/>
        <w:jc w:val="left"/>
        <w:rPr>
          <w:rFonts w:ascii="宋体" w:hAnsi="宋体" w:cs="宋体"/>
          <w:color w:val="auto"/>
          <w:kern w:val="0"/>
          <w:sz w:val="24"/>
        </w:rPr>
      </w:pPr>
      <w:r>
        <w:rPr>
          <w:rFonts w:hint="eastAsia" w:ascii="宋体" w:hAnsi="宋体" w:cs="宋体"/>
          <w:color w:val="auto"/>
          <w:kern w:val="0"/>
          <w:sz w:val="24"/>
        </w:rPr>
        <w:t>★</w:t>
      </w:r>
      <w:r>
        <w:rPr>
          <w:rFonts w:ascii="宋体" w:hAnsi="宋体" w:cs="宋体"/>
          <w:color w:val="auto"/>
          <w:kern w:val="0"/>
          <w:sz w:val="24"/>
        </w:rPr>
        <w:t>注意：</w:t>
      </w:r>
    </w:p>
    <w:p w14:paraId="4B8AA124">
      <w:pPr>
        <w:widowControl/>
        <w:spacing w:before="75" w:after="75"/>
        <w:jc w:val="left"/>
        <w:rPr>
          <w:rFonts w:ascii="宋体" w:hAnsi="宋体" w:cs="宋体"/>
          <w:color w:val="auto"/>
          <w:kern w:val="0"/>
          <w:sz w:val="24"/>
        </w:rPr>
      </w:pPr>
      <w:r>
        <w:rPr>
          <w:rFonts w:ascii="宋体" w:hAnsi="宋体" w:cs="宋体"/>
          <w:color w:val="auto"/>
          <w:kern w:val="0"/>
          <w:sz w:val="24"/>
        </w:rPr>
        <w:t>1、请供应商根据实际情况填写，在相应的（）中打“√”并选择相应的“□”（若有）后，再按照本格式的要求提供相应证明材料的复印件。</w:t>
      </w:r>
    </w:p>
    <w:p w14:paraId="79BFBD25">
      <w:pPr>
        <w:widowControl/>
        <w:spacing w:before="75" w:after="75"/>
        <w:jc w:val="left"/>
        <w:rPr>
          <w:rFonts w:ascii="宋体" w:hAnsi="宋体" w:cs="宋体"/>
          <w:color w:val="auto"/>
          <w:kern w:val="0"/>
          <w:sz w:val="24"/>
        </w:rPr>
      </w:pPr>
      <w:r>
        <w:rPr>
          <w:rFonts w:ascii="宋体" w:hAnsi="宋体" w:cs="宋体"/>
          <w:color w:val="auto"/>
          <w:kern w:val="0"/>
          <w:sz w:val="24"/>
        </w:rPr>
        <w:t>2、供应商为企业的，提供有效的营业执照复印件；供应商为事业单位的，提供有效的事业单位法人证书复印件；供应商为社会团体的，提供有效的社会团体法人登记证书复印件；供应商为合伙企业、个体工商户的，提供有效的营业执照复印件；供应商为非企业专业服务机构的，提供有效的执业许可证等证明材料复印件；供应商为自然人的，提供有效的自然人身份证件复印件；其他供应商应按照有关法律、法规和规章规定，提供有效的相应具体证照复印件。</w:t>
      </w:r>
    </w:p>
    <w:p w14:paraId="6F956939">
      <w:pPr>
        <w:widowControl/>
        <w:spacing w:before="75" w:after="75"/>
        <w:jc w:val="left"/>
        <w:rPr>
          <w:rFonts w:ascii="宋体" w:hAnsi="宋体" w:cs="宋体"/>
          <w:color w:val="auto"/>
          <w:kern w:val="0"/>
          <w:sz w:val="24"/>
        </w:rPr>
      </w:pPr>
      <w:r>
        <w:rPr>
          <w:rFonts w:ascii="宋体" w:hAnsi="宋体" w:cs="宋体"/>
          <w:color w:val="auto"/>
          <w:kern w:val="0"/>
          <w:sz w:val="24"/>
        </w:rPr>
        <w:t>3、供应商提供的相应证明材料复印件均应符合：内容完整、清晰、整洁，并由供应商加盖其单位公章。</w:t>
      </w:r>
    </w:p>
    <w:p w14:paraId="66F42A27">
      <w:pPr>
        <w:widowControl/>
        <w:spacing w:before="75" w:after="75"/>
        <w:jc w:val="left"/>
        <w:rPr>
          <w:rFonts w:ascii="宋体" w:hAnsi="宋体" w:cs="宋体"/>
          <w:color w:val="auto"/>
          <w:kern w:val="0"/>
          <w:sz w:val="24"/>
        </w:rPr>
      </w:pPr>
      <w:r>
        <w:rPr>
          <w:rFonts w:ascii="宋体" w:hAnsi="宋体" w:cs="宋体"/>
          <w:color w:val="auto"/>
          <w:kern w:val="0"/>
          <w:sz w:val="24"/>
        </w:rPr>
        <w:t>4、对于接受联合体形式的谈判且供应商是联合体的，则联合体各成员都应当提交本资格证明文件。</w:t>
      </w:r>
    </w:p>
    <w:p w14:paraId="3C9718CF">
      <w:pPr>
        <w:widowControl/>
        <w:spacing w:before="75" w:after="75" w:line="435" w:lineRule="atLeast"/>
        <w:rPr>
          <w:rFonts w:ascii="宋体" w:hAnsi="宋体" w:cs="宋体"/>
          <w:color w:val="auto"/>
          <w:kern w:val="0"/>
          <w:sz w:val="24"/>
        </w:rPr>
      </w:pPr>
      <w:r>
        <w:rPr>
          <w:rFonts w:ascii="宋体" w:hAnsi="宋体" w:cs="宋体"/>
          <w:color w:val="auto"/>
          <w:kern w:val="0"/>
          <w:sz w:val="24"/>
        </w:rPr>
        <w:t>供应商代表：             （签字） </w:t>
      </w:r>
    </w:p>
    <w:p w14:paraId="54F5A33D">
      <w:pPr>
        <w:widowControl/>
        <w:spacing w:before="75" w:after="75" w:line="435" w:lineRule="atLeast"/>
        <w:rPr>
          <w:rFonts w:ascii="宋体" w:hAnsi="宋体" w:cs="宋体"/>
          <w:color w:val="auto"/>
          <w:kern w:val="0"/>
          <w:sz w:val="24"/>
        </w:rPr>
      </w:pPr>
      <w:r>
        <w:rPr>
          <w:rFonts w:ascii="宋体" w:hAnsi="宋体" w:cs="宋体"/>
          <w:color w:val="auto"/>
          <w:kern w:val="0"/>
          <w:sz w:val="24"/>
        </w:rPr>
        <w:t>供应商名称：      （全称并加盖公章）              </w:t>
      </w:r>
    </w:p>
    <w:p w14:paraId="0F8B1CD4">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日  期：     年    月    日</w:t>
      </w:r>
    </w:p>
    <w:p w14:paraId="71358DB9">
      <w:pPr>
        <w:widowControl/>
        <w:spacing w:before="75" w:after="75" w:line="435" w:lineRule="atLeast"/>
        <w:jc w:val="left"/>
        <w:rPr>
          <w:rFonts w:ascii="宋体" w:hAnsi="宋体" w:cs="宋体"/>
          <w:color w:val="auto"/>
          <w:kern w:val="0"/>
          <w:sz w:val="24"/>
        </w:rPr>
      </w:pPr>
    </w:p>
    <w:p w14:paraId="2FE958E5">
      <w:pPr>
        <w:widowControl/>
        <w:spacing w:before="75" w:after="75" w:line="435" w:lineRule="atLeast"/>
        <w:jc w:val="left"/>
        <w:rPr>
          <w:rFonts w:ascii="宋体" w:hAnsi="宋体" w:cs="宋体"/>
          <w:color w:val="auto"/>
          <w:kern w:val="0"/>
          <w:sz w:val="24"/>
        </w:rPr>
      </w:pPr>
    </w:p>
    <w:p w14:paraId="7269DDEE">
      <w:pPr>
        <w:widowControl/>
        <w:spacing w:before="75" w:after="75" w:line="435" w:lineRule="atLeast"/>
        <w:jc w:val="left"/>
        <w:rPr>
          <w:rFonts w:ascii="宋体" w:hAnsi="宋体" w:cs="宋体"/>
          <w:color w:val="auto"/>
          <w:kern w:val="0"/>
          <w:sz w:val="24"/>
        </w:rPr>
      </w:pPr>
    </w:p>
    <w:p w14:paraId="431420CE">
      <w:pPr>
        <w:widowControl/>
        <w:spacing w:before="75" w:after="75" w:line="435" w:lineRule="atLeast"/>
        <w:jc w:val="left"/>
        <w:rPr>
          <w:rFonts w:ascii="宋体" w:hAnsi="宋体" w:cs="宋体"/>
          <w:color w:val="auto"/>
          <w:kern w:val="0"/>
          <w:sz w:val="24"/>
        </w:rPr>
      </w:pPr>
    </w:p>
    <w:p w14:paraId="3AFB5174">
      <w:pPr>
        <w:widowControl/>
        <w:spacing w:before="75" w:after="75" w:line="435" w:lineRule="atLeast"/>
        <w:jc w:val="left"/>
        <w:rPr>
          <w:rFonts w:hint="eastAsia" w:ascii="宋体" w:hAnsi="宋体" w:eastAsia="宋体" w:cs="宋体"/>
          <w:color w:val="auto"/>
          <w:kern w:val="0"/>
          <w:sz w:val="24"/>
          <w:szCs w:val="24"/>
        </w:rPr>
      </w:pPr>
    </w:p>
    <w:p w14:paraId="2925D5F4">
      <w:pPr>
        <w:pStyle w:val="28"/>
        <w:jc w:val="both"/>
        <w:outlineLvl w:val="2"/>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rPr>
        <w:t>附件3-</w:t>
      </w:r>
      <w:r>
        <w:rPr>
          <w:rFonts w:hint="eastAsia" w:ascii="宋体" w:hAnsi="宋体" w:cs="宋体"/>
          <w:color w:val="auto"/>
          <w:kern w:val="0"/>
          <w:sz w:val="24"/>
          <w:szCs w:val="24"/>
          <w:lang w:val="en-US" w:eastAsia="zh-CN"/>
        </w:rPr>
        <w:t>5</w:t>
      </w:r>
    </w:p>
    <w:p w14:paraId="2F151B13">
      <w:pPr>
        <w:pStyle w:val="28"/>
        <w:jc w:val="center"/>
        <w:outlineLvl w:val="2"/>
        <w:rPr>
          <w:rFonts w:hint="eastAsia" w:ascii="宋体" w:hAnsi="宋体" w:eastAsia="宋体" w:cs="宋体"/>
          <w:color w:val="auto"/>
          <w:sz w:val="24"/>
          <w:szCs w:val="24"/>
        </w:rPr>
      </w:pPr>
      <w:r>
        <w:rPr>
          <w:rFonts w:hint="eastAsia" w:ascii="宋体" w:hAnsi="宋体" w:eastAsia="宋体" w:cs="宋体"/>
          <w:b/>
          <w:color w:val="auto"/>
          <w:sz w:val="24"/>
          <w:szCs w:val="24"/>
        </w:rPr>
        <w:t>具备履行合同所必需设备和专业技术能力证明材料声明函</w:t>
      </w:r>
    </w:p>
    <w:p w14:paraId="240BB38F">
      <w:pPr>
        <w:pStyle w:val="28"/>
        <w:jc w:val="center"/>
        <w:outlineLvl w:val="1"/>
        <w:rPr>
          <w:rFonts w:hint="eastAsia" w:ascii="宋体" w:hAnsi="宋体" w:eastAsia="宋体" w:cs="宋体"/>
          <w:color w:val="auto"/>
          <w:sz w:val="24"/>
          <w:szCs w:val="24"/>
        </w:rPr>
      </w:pPr>
      <w:r>
        <w:rPr>
          <w:rFonts w:hint="eastAsia" w:ascii="宋体" w:hAnsi="宋体" w:eastAsia="宋体" w:cs="宋体"/>
          <w:b/>
          <w:color w:val="auto"/>
          <w:sz w:val="24"/>
          <w:szCs w:val="24"/>
        </w:rPr>
        <w:t>声明函</w:t>
      </w:r>
    </w:p>
    <w:p w14:paraId="465F3093">
      <w:pPr>
        <w:pStyle w:val="28"/>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致：</w:t>
      </w:r>
      <w:r>
        <w:rPr>
          <w:rFonts w:hint="eastAsia" w:ascii="宋体" w:hAnsi="宋体" w:eastAsia="宋体" w:cs="宋体"/>
          <w:color w:val="auto"/>
          <w:sz w:val="24"/>
          <w:szCs w:val="24"/>
          <w:u w:val="single"/>
        </w:rPr>
        <w:t>(采购人或采购代理机构)</w:t>
      </w:r>
    </w:p>
    <w:p w14:paraId="2A7D9FBB">
      <w:pPr>
        <w:pStyle w:val="28"/>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我方具备履行合同所必需的设备和专业技术能力，并对本声明承诺的真实性负责，否则产生不利后果由我方承担责任。</w:t>
      </w:r>
    </w:p>
    <w:p w14:paraId="524AE761">
      <w:pPr>
        <w:pStyle w:val="28"/>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特此声明。</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br w:type="textWrapping"/>
      </w:r>
    </w:p>
    <w:p w14:paraId="27C54EA9">
      <w:pPr>
        <w:pStyle w:val="28"/>
        <w:jc w:val="left"/>
        <w:rPr>
          <w:rFonts w:hint="eastAsia" w:ascii="宋体" w:hAnsi="宋体" w:eastAsia="宋体" w:cs="宋体"/>
          <w:color w:val="auto"/>
          <w:sz w:val="24"/>
          <w:szCs w:val="24"/>
        </w:rPr>
      </w:pPr>
      <w:r>
        <w:rPr>
          <w:rFonts w:hint="eastAsia" w:ascii="宋体" w:hAnsi="宋体" w:eastAsia="宋体" w:cs="宋体"/>
          <w:b/>
          <w:color w:val="auto"/>
          <w:sz w:val="24"/>
          <w:szCs w:val="24"/>
        </w:rPr>
        <w:t>1.谈判文件“供应商的资格”中特定资格条件如果没有特别规定，则由供应商在响应文件中按上述格式提供其具备履行合同所必需的设备和专业技术能力的声明即可，声明函应加盖供应商单位公章。</w:t>
      </w:r>
    </w:p>
    <w:p w14:paraId="61B054BB">
      <w:pPr>
        <w:pStyle w:val="28"/>
        <w:jc w:val="left"/>
        <w:rPr>
          <w:rFonts w:hint="eastAsia" w:ascii="宋体" w:hAnsi="宋体" w:eastAsia="宋体" w:cs="宋体"/>
          <w:color w:val="auto"/>
          <w:sz w:val="24"/>
          <w:szCs w:val="24"/>
        </w:rPr>
      </w:pPr>
    </w:p>
    <w:p w14:paraId="4B37663B">
      <w:pPr>
        <w:pStyle w:val="28"/>
        <w:jc w:val="left"/>
        <w:rPr>
          <w:rFonts w:hint="eastAsia" w:ascii="宋体" w:hAnsi="宋体" w:eastAsia="宋体" w:cs="宋体"/>
          <w:color w:val="auto"/>
          <w:sz w:val="24"/>
          <w:szCs w:val="24"/>
        </w:rPr>
      </w:pPr>
      <w:r>
        <w:rPr>
          <w:rFonts w:hint="eastAsia" w:ascii="宋体" w:hAnsi="宋体" w:eastAsia="宋体" w:cs="宋体"/>
          <w:color w:val="auto"/>
          <w:sz w:val="24"/>
          <w:szCs w:val="24"/>
        </w:rPr>
        <w:t>2.如果根据项目的特点和需要，对履行合同所必需的设备和专业技术能力的证明材料有特别专项要求的，则采购人或采购代理机构应当在谈判文件“供应商的资格”中特定资格条件进行明确约定，供应商可以不用提供上述格式要求的声明函，但必须按特定资格条件的规定提供相应专项证明材料，并对相应证明材料的真实性负责。</w:t>
      </w:r>
    </w:p>
    <w:p w14:paraId="18DB60C1">
      <w:pPr>
        <w:pStyle w:val="28"/>
        <w:jc w:val="left"/>
        <w:rPr>
          <w:rFonts w:hint="eastAsia" w:ascii="宋体" w:hAnsi="宋体" w:eastAsia="宋体" w:cs="宋体"/>
          <w:color w:val="auto"/>
          <w:sz w:val="24"/>
          <w:szCs w:val="24"/>
        </w:rPr>
      </w:pPr>
    </w:p>
    <w:p w14:paraId="3D9FBF6F">
      <w:pPr>
        <w:pStyle w:val="28"/>
        <w:jc w:val="left"/>
        <w:rPr>
          <w:rFonts w:hint="eastAsia" w:ascii="宋体" w:hAnsi="宋体" w:eastAsia="宋体" w:cs="宋体"/>
          <w:color w:val="auto"/>
          <w:sz w:val="24"/>
          <w:szCs w:val="24"/>
        </w:rPr>
      </w:pPr>
      <w:r>
        <w:rPr>
          <w:rFonts w:hint="eastAsia" w:ascii="宋体" w:hAnsi="宋体" w:eastAsia="宋体" w:cs="宋体"/>
          <w:color w:val="auto"/>
          <w:sz w:val="24"/>
          <w:szCs w:val="24"/>
        </w:rPr>
        <w:t>3.对于接受联合体形式的谈判且供应商是联合体的，则联合体各成员都应当提交本资格证明文件。</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br w:type="textWrapping"/>
      </w:r>
    </w:p>
    <w:p w14:paraId="13C7F91A">
      <w:pPr>
        <w:pStyle w:val="28"/>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供应商代表</w:t>
      </w:r>
      <w:r>
        <w:rPr>
          <w:rFonts w:hint="eastAsia" w:ascii="宋体" w:hAnsi="宋体" w:eastAsia="宋体" w:cs="宋体"/>
          <w:color w:val="auto"/>
          <w:sz w:val="24"/>
          <w:szCs w:val="24"/>
          <w:u w:val="single"/>
        </w:rPr>
        <w:t>（签字）</w:t>
      </w:r>
    </w:p>
    <w:p w14:paraId="011A3E08">
      <w:pPr>
        <w:pStyle w:val="28"/>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供应商名称</w:t>
      </w:r>
      <w:r>
        <w:rPr>
          <w:rFonts w:hint="eastAsia" w:ascii="宋体" w:hAnsi="宋体" w:eastAsia="宋体" w:cs="宋体"/>
          <w:color w:val="auto"/>
          <w:sz w:val="24"/>
          <w:szCs w:val="24"/>
          <w:u w:val="single"/>
        </w:rPr>
        <w:t>（全称并加盖公章）</w:t>
      </w:r>
    </w:p>
    <w:p w14:paraId="77DFE7E7">
      <w:pPr>
        <w:pStyle w:val="28"/>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日期：</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年</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月</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日</w:t>
      </w:r>
    </w:p>
    <w:p w14:paraId="2B43AB9E">
      <w:pPr>
        <w:pStyle w:val="28"/>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br w:type="page"/>
      </w:r>
    </w:p>
    <w:p w14:paraId="722B0AFC">
      <w:pPr>
        <w:pStyle w:val="28"/>
        <w:jc w:val="both"/>
        <w:outlineLvl w:val="2"/>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rPr>
        <w:t>附件3-</w:t>
      </w:r>
      <w:r>
        <w:rPr>
          <w:rFonts w:hint="eastAsia" w:ascii="宋体" w:hAnsi="宋体" w:cs="宋体"/>
          <w:color w:val="auto"/>
          <w:kern w:val="0"/>
          <w:sz w:val="24"/>
          <w:szCs w:val="24"/>
          <w:lang w:val="en-US" w:eastAsia="zh-CN"/>
        </w:rPr>
        <w:t>6</w:t>
      </w:r>
    </w:p>
    <w:p w14:paraId="4492AE16">
      <w:pPr>
        <w:pStyle w:val="28"/>
        <w:jc w:val="center"/>
        <w:outlineLvl w:val="2"/>
        <w:rPr>
          <w:rFonts w:hint="eastAsia" w:ascii="宋体" w:hAnsi="宋体" w:eastAsia="宋体" w:cs="宋体"/>
          <w:color w:val="auto"/>
          <w:sz w:val="24"/>
          <w:szCs w:val="24"/>
        </w:rPr>
      </w:pPr>
      <w:r>
        <w:rPr>
          <w:rFonts w:hint="eastAsia" w:ascii="宋体" w:hAnsi="宋体" w:eastAsia="宋体" w:cs="宋体"/>
          <w:b/>
          <w:color w:val="auto"/>
          <w:sz w:val="24"/>
          <w:szCs w:val="24"/>
        </w:rPr>
        <w:t>参加采购活动前三年内在经营活动中没有重大违法记录书面声明</w:t>
      </w:r>
    </w:p>
    <w:p w14:paraId="3D5BF02B">
      <w:pPr>
        <w:pStyle w:val="28"/>
        <w:jc w:val="left"/>
        <w:rPr>
          <w:rFonts w:hint="eastAsia" w:ascii="宋体" w:hAnsi="宋体" w:eastAsia="宋体" w:cs="宋体"/>
          <w:color w:val="auto"/>
          <w:sz w:val="24"/>
          <w:szCs w:val="24"/>
        </w:rPr>
      </w:pPr>
    </w:p>
    <w:p w14:paraId="1D1F6140">
      <w:pPr>
        <w:pStyle w:val="28"/>
        <w:jc w:val="left"/>
        <w:rPr>
          <w:rFonts w:hint="eastAsia" w:ascii="宋体" w:hAnsi="宋体" w:eastAsia="宋体" w:cs="宋体"/>
          <w:color w:val="auto"/>
          <w:sz w:val="24"/>
          <w:szCs w:val="24"/>
        </w:rPr>
      </w:pPr>
      <w:r>
        <w:rPr>
          <w:rFonts w:hint="eastAsia" w:ascii="宋体" w:hAnsi="宋体" w:eastAsia="宋体" w:cs="宋体"/>
          <w:color w:val="auto"/>
          <w:sz w:val="24"/>
          <w:szCs w:val="24"/>
        </w:rPr>
        <w:t>致：</w:t>
      </w:r>
      <w:r>
        <w:rPr>
          <w:rFonts w:hint="eastAsia" w:ascii="宋体" w:hAnsi="宋体" w:eastAsia="宋体" w:cs="宋体"/>
          <w:color w:val="auto"/>
          <w:sz w:val="24"/>
          <w:szCs w:val="24"/>
          <w:u w:val="single"/>
        </w:rPr>
        <w:t>(采购人或采购代理机构)</w:t>
      </w:r>
    </w:p>
    <w:p w14:paraId="37159C64">
      <w:pPr>
        <w:pStyle w:val="28"/>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参加采购活动前三年内，我方在经营活动中没有重大违法记录，即没有因违法经营受到刑事处罚或责令停产停业、吊销许可证或执照、较大数额罚款等行政处罚。否则产生不利后果由我方承担责任。</w:t>
      </w:r>
    </w:p>
    <w:p w14:paraId="5D0AB419">
      <w:pPr>
        <w:pStyle w:val="28"/>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特此声明。</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br w:type="textWrapping"/>
      </w:r>
    </w:p>
    <w:p w14:paraId="668C07DC">
      <w:pPr>
        <w:pStyle w:val="28"/>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供应商代表</w:t>
      </w:r>
      <w:r>
        <w:rPr>
          <w:rFonts w:hint="eastAsia" w:ascii="宋体" w:hAnsi="宋体" w:eastAsia="宋体" w:cs="宋体"/>
          <w:color w:val="auto"/>
          <w:sz w:val="24"/>
          <w:szCs w:val="24"/>
          <w:u w:val="single"/>
        </w:rPr>
        <w:t>（签字）</w:t>
      </w:r>
    </w:p>
    <w:p w14:paraId="60ECD18B">
      <w:pPr>
        <w:pStyle w:val="28"/>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供应商名称</w:t>
      </w:r>
      <w:r>
        <w:rPr>
          <w:rFonts w:hint="eastAsia" w:ascii="宋体" w:hAnsi="宋体" w:eastAsia="宋体" w:cs="宋体"/>
          <w:color w:val="auto"/>
          <w:sz w:val="24"/>
          <w:szCs w:val="24"/>
          <w:u w:val="single"/>
        </w:rPr>
        <w:t>（全称并加盖公章）</w:t>
      </w:r>
    </w:p>
    <w:p w14:paraId="7ACAF689">
      <w:pPr>
        <w:pStyle w:val="28"/>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日期：</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年</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月</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日</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br w:type="textWrapping"/>
      </w:r>
    </w:p>
    <w:p w14:paraId="6150B174">
      <w:pPr>
        <w:pStyle w:val="28"/>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※注意</w:t>
      </w:r>
    </w:p>
    <w:p w14:paraId="0F428A57">
      <w:pPr>
        <w:pStyle w:val="28"/>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1、“重大违法记录”指供应商因违法经营受到刑事处罚或责令停产停业、吊销许可证或执照、较大数额罚款等行政处罚。</w:t>
      </w:r>
    </w:p>
    <w:p w14:paraId="7EF2C1A2">
      <w:pPr>
        <w:pStyle w:val="28"/>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2、请供应商根据实际情况如实声明，否则视为提供虚假材料。</w:t>
      </w:r>
    </w:p>
    <w:p w14:paraId="0F0A6918">
      <w:pPr>
        <w:widowControl/>
        <w:spacing w:before="75" w:after="75" w:line="435" w:lineRule="atLeast"/>
        <w:jc w:val="left"/>
        <w:rPr>
          <w:b/>
          <w:color w:val="auto"/>
          <w:sz w:val="28"/>
        </w:rPr>
      </w:pPr>
    </w:p>
    <w:p w14:paraId="04093077">
      <w:pPr>
        <w:widowControl/>
        <w:spacing w:before="75" w:after="75" w:line="435" w:lineRule="atLeast"/>
        <w:jc w:val="left"/>
        <w:rPr>
          <w:b/>
          <w:color w:val="auto"/>
          <w:sz w:val="28"/>
        </w:rPr>
      </w:pPr>
    </w:p>
    <w:p w14:paraId="3EF4FCE3">
      <w:pPr>
        <w:widowControl/>
        <w:spacing w:before="75" w:after="75" w:line="435" w:lineRule="atLeast"/>
        <w:jc w:val="left"/>
        <w:rPr>
          <w:b/>
          <w:color w:val="auto"/>
          <w:sz w:val="28"/>
        </w:rPr>
      </w:pPr>
    </w:p>
    <w:p w14:paraId="11026D30">
      <w:pPr>
        <w:widowControl/>
        <w:spacing w:before="75" w:after="75" w:line="435" w:lineRule="atLeast"/>
        <w:jc w:val="left"/>
        <w:rPr>
          <w:b/>
          <w:color w:val="auto"/>
          <w:sz w:val="28"/>
        </w:rPr>
      </w:pPr>
    </w:p>
    <w:p w14:paraId="6D903597">
      <w:pPr>
        <w:widowControl/>
        <w:spacing w:before="75" w:after="75" w:line="435" w:lineRule="atLeast"/>
        <w:jc w:val="left"/>
        <w:rPr>
          <w:b/>
          <w:color w:val="auto"/>
          <w:sz w:val="28"/>
        </w:rPr>
      </w:pPr>
    </w:p>
    <w:p w14:paraId="1CCD2D8B">
      <w:pPr>
        <w:widowControl/>
        <w:spacing w:before="75" w:after="75" w:line="435" w:lineRule="atLeast"/>
        <w:jc w:val="left"/>
        <w:rPr>
          <w:b/>
          <w:color w:val="auto"/>
          <w:sz w:val="28"/>
        </w:rPr>
      </w:pPr>
    </w:p>
    <w:p w14:paraId="761EE1AD">
      <w:pPr>
        <w:widowControl/>
        <w:spacing w:before="75" w:after="75" w:line="435" w:lineRule="atLeast"/>
        <w:jc w:val="left"/>
        <w:rPr>
          <w:b/>
          <w:color w:val="auto"/>
          <w:sz w:val="28"/>
        </w:rPr>
      </w:pPr>
    </w:p>
    <w:p w14:paraId="54EFFC49">
      <w:pPr>
        <w:widowControl/>
        <w:spacing w:before="75" w:after="75" w:line="435" w:lineRule="atLeast"/>
        <w:jc w:val="left"/>
        <w:rPr>
          <w:b/>
          <w:color w:val="auto"/>
          <w:sz w:val="28"/>
        </w:rPr>
      </w:pPr>
    </w:p>
    <w:p w14:paraId="6BBE2069">
      <w:pPr>
        <w:widowControl/>
        <w:spacing w:before="75" w:after="75" w:line="435" w:lineRule="atLeast"/>
        <w:jc w:val="left"/>
        <w:rPr>
          <w:b/>
          <w:color w:val="auto"/>
          <w:sz w:val="28"/>
        </w:rPr>
      </w:pPr>
    </w:p>
    <w:p w14:paraId="77C7E673">
      <w:pPr>
        <w:widowControl/>
        <w:spacing w:before="75" w:after="75" w:line="435" w:lineRule="atLeast"/>
        <w:jc w:val="left"/>
        <w:rPr>
          <w:b/>
          <w:color w:val="auto"/>
          <w:sz w:val="28"/>
        </w:rPr>
      </w:pPr>
    </w:p>
    <w:p w14:paraId="25A19CCD">
      <w:pPr>
        <w:widowControl/>
        <w:spacing w:before="75" w:after="75" w:line="435" w:lineRule="atLeast"/>
        <w:jc w:val="left"/>
        <w:rPr>
          <w:b/>
          <w:color w:val="auto"/>
          <w:sz w:val="28"/>
        </w:rPr>
      </w:pPr>
    </w:p>
    <w:p w14:paraId="55938B9E">
      <w:pPr>
        <w:widowControl/>
        <w:spacing w:before="75" w:after="75" w:line="435" w:lineRule="atLeast"/>
        <w:jc w:val="left"/>
        <w:rPr>
          <w:rFonts w:ascii="宋体" w:hAnsi="宋体" w:cs="宋体"/>
          <w:color w:val="auto"/>
          <w:kern w:val="0"/>
          <w:sz w:val="24"/>
        </w:rPr>
      </w:pPr>
      <w:r>
        <w:rPr>
          <w:rFonts w:hint="eastAsia" w:ascii="宋体" w:hAnsi="宋体" w:eastAsia="宋体" w:cs="宋体"/>
          <w:color w:val="auto"/>
          <w:kern w:val="0"/>
          <w:sz w:val="24"/>
          <w:szCs w:val="24"/>
          <w:lang w:val="en-US" w:eastAsia="zh-CN" w:bidi="ar-SA"/>
        </w:rPr>
        <w:t>附件3-</w:t>
      </w:r>
      <w:r>
        <w:rPr>
          <w:rFonts w:hint="eastAsia" w:ascii="宋体" w:hAnsi="宋体" w:cs="宋体"/>
          <w:color w:val="auto"/>
          <w:kern w:val="0"/>
          <w:sz w:val="24"/>
          <w:szCs w:val="24"/>
          <w:lang w:val="en-US" w:eastAsia="zh-CN" w:bidi="ar-SA"/>
        </w:rPr>
        <w:t>7</w:t>
      </w:r>
      <w:r>
        <w:rPr>
          <w:rFonts w:hint="eastAsia" w:ascii="宋体" w:hAnsi="宋体" w:eastAsia="宋体" w:cs="宋体"/>
          <w:color w:val="auto"/>
          <w:kern w:val="0"/>
          <w:sz w:val="24"/>
          <w:szCs w:val="24"/>
          <w:lang w:val="en-US" w:eastAsia="zh-CN" w:bidi="ar-SA"/>
        </w:rPr>
        <w:t> </w:t>
      </w:r>
      <w:r>
        <w:rPr>
          <w:rFonts w:ascii="宋体" w:hAnsi="宋体" w:cs="宋体"/>
          <w:color w:val="auto"/>
          <w:kern w:val="0"/>
          <w:sz w:val="24"/>
        </w:rPr>
        <w:t>     </w:t>
      </w:r>
    </w:p>
    <w:p w14:paraId="62600BD6">
      <w:pPr>
        <w:widowControl/>
        <w:spacing w:before="75" w:after="75" w:line="435" w:lineRule="atLeast"/>
        <w:ind w:firstLine="2891" w:firstLineChars="1200"/>
        <w:jc w:val="left"/>
        <w:rPr>
          <w:rFonts w:ascii="宋体" w:hAnsi="宋体" w:cs="宋体"/>
          <w:color w:val="auto"/>
          <w:kern w:val="0"/>
          <w:sz w:val="24"/>
        </w:rPr>
      </w:pPr>
      <w:r>
        <w:rPr>
          <w:rFonts w:ascii="宋体" w:hAnsi="宋体" w:cs="宋体"/>
          <w:b/>
          <w:bCs/>
          <w:color w:val="auto"/>
          <w:kern w:val="0"/>
          <w:sz w:val="24"/>
        </w:rPr>
        <w:t>信用记录查询结果</w:t>
      </w:r>
    </w:p>
    <w:p w14:paraId="45B08A21">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w:t>
      </w:r>
    </w:p>
    <w:p w14:paraId="668C0E0B">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致：(采购人或采购代理机构)     </w:t>
      </w:r>
    </w:p>
    <w:p w14:paraId="2ACD8B01">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现附上截至   年   月   日   时我方通过“信用中国”网站（www.creditchina.gov.cn）获取的我方信用信息查询结果（填写具体份数）份、通过中国政府采购网（www.ccgp.gov.cn）获取的我方信用信息查询结果（填写具体份数）份，上述信用信息查询结果真实有效，否则我方负全部责任。</w:t>
      </w:r>
    </w:p>
    <w:p w14:paraId="6BF0BCBD">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w:t>
      </w:r>
    </w:p>
    <w:p w14:paraId="40AD4EEE">
      <w:pPr>
        <w:widowControl/>
        <w:spacing w:before="75" w:after="75" w:line="435" w:lineRule="atLeast"/>
        <w:jc w:val="left"/>
        <w:rPr>
          <w:rFonts w:ascii="宋体" w:hAnsi="宋体" w:cs="宋体"/>
          <w:color w:val="auto"/>
          <w:kern w:val="0"/>
          <w:sz w:val="24"/>
          <w:szCs w:val="24"/>
        </w:rPr>
      </w:pPr>
      <w:r>
        <w:rPr>
          <w:rFonts w:hint="eastAsia" w:ascii="宋体" w:hAnsi="宋体" w:cs="宋体"/>
          <w:color w:val="auto"/>
          <w:kern w:val="0"/>
          <w:sz w:val="24"/>
          <w:szCs w:val="24"/>
        </w:rPr>
        <w:t>★</w:t>
      </w:r>
      <w:r>
        <w:rPr>
          <w:rFonts w:ascii="宋体" w:hAnsi="宋体" w:cs="宋体"/>
          <w:color w:val="auto"/>
          <w:kern w:val="0"/>
          <w:sz w:val="24"/>
          <w:szCs w:val="24"/>
        </w:rPr>
        <w:t>注意：</w:t>
      </w:r>
    </w:p>
    <w:p w14:paraId="213D168A">
      <w:pPr>
        <w:widowControl/>
        <w:spacing w:before="75" w:after="75" w:line="435" w:lineRule="atLeast"/>
        <w:jc w:val="left"/>
        <w:rPr>
          <w:rFonts w:ascii="宋体" w:hAnsi="宋体" w:cs="宋体"/>
          <w:color w:val="auto"/>
          <w:kern w:val="0"/>
          <w:sz w:val="24"/>
          <w:szCs w:val="24"/>
        </w:rPr>
      </w:pPr>
      <w:r>
        <w:rPr>
          <w:rFonts w:ascii="宋体" w:hAnsi="宋体" w:cs="宋体"/>
          <w:color w:val="auto"/>
          <w:kern w:val="0"/>
          <w:sz w:val="24"/>
          <w:szCs w:val="24"/>
        </w:rPr>
        <w:t>1、供应商应</w:t>
      </w:r>
      <w:r>
        <w:rPr>
          <w:rFonts w:ascii="宋体" w:hAnsi="宋体" w:cs="宋体"/>
          <w:b/>
          <w:bCs/>
          <w:color w:val="auto"/>
          <w:kern w:val="0"/>
          <w:sz w:val="24"/>
          <w:szCs w:val="24"/>
        </w:rPr>
        <w:t>同时提供</w:t>
      </w:r>
      <w:r>
        <w:rPr>
          <w:rFonts w:ascii="宋体" w:hAnsi="宋体" w:cs="宋体"/>
          <w:color w:val="auto"/>
          <w:kern w:val="0"/>
          <w:sz w:val="24"/>
          <w:szCs w:val="24"/>
        </w:rPr>
        <w:t>在谈判文件要求的首次响应文件递交截止时点前通过上述2个网站获取的信用信息查询结果，信用信息查询结果应为从上述网站获取的查询结果原始页面的打印件或完整截图，</w:t>
      </w:r>
      <w:r>
        <w:rPr>
          <w:rFonts w:ascii="宋体" w:hAnsi="宋体" w:cs="宋体"/>
          <w:b/>
          <w:bCs/>
          <w:color w:val="auto"/>
          <w:kern w:val="0"/>
          <w:sz w:val="24"/>
          <w:szCs w:val="24"/>
        </w:rPr>
        <w:t>否则其响应文件将被否决</w:t>
      </w:r>
      <w:r>
        <w:rPr>
          <w:rFonts w:ascii="宋体" w:hAnsi="宋体" w:cs="宋体"/>
          <w:color w:val="auto"/>
          <w:kern w:val="0"/>
          <w:sz w:val="24"/>
          <w:szCs w:val="24"/>
        </w:rPr>
        <w:t>。</w:t>
      </w:r>
    </w:p>
    <w:p w14:paraId="5E2E5298">
      <w:pPr>
        <w:widowControl/>
        <w:spacing w:before="75" w:after="75" w:line="435" w:lineRule="atLeast"/>
        <w:jc w:val="left"/>
        <w:rPr>
          <w:rFonts w:ascii="宋体" w:hAnsi="宋体" w:cs="宋体"/>
          <w:color w:val="auto"/>
          <w:kern w:val="0"/>
          <w:sz w:val="24"/>
          <w:szCs w:val="24"/>
        </w:rPr>
      </w:pPr>
      <w:r>
        <w:rPr>
          <w:rFonts w:ascii="宋体" w:hAnsi="宋体" w:cs="宋体"/>
          <w:color w:val="auto"/>
          <w:kern w:val="0"/>
          <w:sz w:val="24"/>
          <w:szCs w:val="24"/>
        </w:rPr>
        <w:t>2、若本项目接受联合体响应谈判且供应商为联合体，则联合体各成员均应</w:t>
      </w:r>
      <w:r>
        <w:rPr>
          <w:rFonts w:ascii="宋体" w:hAnsi="宋体" w:cs="宋体"/>
          <w:b/>
          <w:bCs/>
          <w:color w:val="auto"/>
          <w:kern w:val="0"/>
          <w:sz w:val="24"/>
          <w:szCs w:val="24"/>
        </w:rPr>
        <w:t>同时提供</w:t>
      </w:r>
      <w:r>
        <w:rPr>
          <w:rFonts w:ascii="宋体" w:hAnsi="宋体" w:cs="宋体"/>
          <w:color w:val="auto"/>
          <w:kern w:val="0"/>
          <w:sz w:val="24"/>
          <w:szCs w:val="24"/>
        </w:rPr>
        <w:t>在谈判文件要求的首次响应文件截止时点前通过上述2个网站获取的联合体各方的信用信息查询结果，信用信息查询结果应为从上述网站获取的查询结果原始页面的完整截图或打印件，</w:t>
      </w:r>
      <w:r>
        <w:rPr>
          <w:rFonts w:ascii="宋体" w:hAnsi="宋体" w:cs="宋体"/>
          <w:b/>
          <w:bCs/>
          <w:color w:val="auto"/>
          <w:kern w:val="0"/>
          <w:sz w:val="24"/>
          <w:szCs w:val="24"/>
        </w:rPr>
        <w:t>否则其响应文件将被否决</w:t>
      </w:r>
      <w:r>
        <w:rPr>
          <w:rFonts w:ascii="宋体" w:hAnsi="宋体" w:cs="宋体"/>
          <w:color w:val="auto"/>
          <w:kern w:val="0"/>
          <w:sz w:val="24"/>
          <w:szCs w:val="24"/>
        </w:rPr>
        <w:t>。</w:t>
      </w:r>
    </w:p>
    <w:p w14:paraId="66A1F609">
      <w:pPr>
        <w:widowControl/>
        <w:spacing w:before="75" w:after="75" w:line="435" w:lineRule="atLeast"/>
        <w:jc w:val="left"/>
        <w:rPr>
          <w:rFonts w:ascii="宋体" w:hAnsi="宋体" w:cs="宋体"/>
          <w:color w:val="auto"/>
          <w:kern w:val="0"/>
          <w:sz w:val="24"/>
          <w:szCs w:val="24"/>
        </w:rPr>
      </w:pPr>
      <w:r>
        <w:rPr>
          <w:rFonts w:ascii="宋体" w:hAnsi="宋体" w:cs="宋体"/>
          <w:color w:val="auto"/>
          <w:kern w:val="0"/>
          <w:sz w:val="24"/>
          <w:szCs w:val="24"/>
        </w:rPr>
        <w:t>3、联合体成员存在不良信用记录的，视同联合体存在不良信用记录，</w:t>
      </w:r>
      <w:r>
        <w:rPr>
          <w:rFonts w:ascii="宋体" w:hAnsi="宋体" w:cs="宋体"/>
          <w:b/>
          <w:bCs/>
          <w:color w:val="auto"/>
          <w:kern w:val="0"/>
          <w:sz w:val="24"/>
          <w:szCs w:val="24"/>
        </w:rPr>
        <w:t>其响应文件将被否决</w:t>
      </w:r>
      <w:r>
        <w:rPr>
          <w:rFonts w:ascii="宋体" w:hAnsi="宋体" w:cs="宋体"/>
          <w:color w:val="auto"/>
          <w:kern w:val="0"/>
          <w:sz w:val="24"/>
          <w:szCs w:val="24"/>
        </w:rPr>
        <w:t>。</w:t>
      </w:r>
    </w:p>
    <w:p w14:paraId="01DE525F">
      <w:pPr>
        <w:widowControl/>
        <w:spacing w:before="75" w:after="75" w:line="435" w:lineRule="atLeast"/>
        <w:jc w:val="left"/>
        <w:rPr>
          <w:rFonts w:ascii="宋体" w:hAnsi="宋体" w:cs="宋体"/>
          <w:color w:val="auto"/>
          <w:kern w:val="0"/>
          <w:sz w:val="24"/>
          <w:szCs w:val="24"/>
        </w:rPr>
      </w:pPr>
      <w:r>
        <w:rPr>
          <w:rFonts w:hint="eastAsia" w:ascii="宋体" w:hAnsi="宋体" w:cs="宋体"/>
          <w:b/>
          <w:bCs/>
          <w:color w:val="auto"/>
          <w:kern w:val="0"/>
          <w:sz w:val="24"/>
          <w:szCs w:val="24"/>
        </w:rPr>
        <w:t>※</w:t>
      </w:r>
      <w:r>
        <w:rPr>
          <w:rFonts w:ascii="宋体" w:hAnsi="宋体" w:cs="宋体"/>
          <w:b/>
          <w:bCs/>
          <w:color w:val="auto"/>
          <w:kern w:val="0"/>
          <w:sz w:val="24"/>
          <w:szCs w:val="24"/>
        </w:rPr>
        <w:t>除上述规定外，信用记录的其他有关规定（包括但不限于：信用信息的查询渠道及截止时点、查询记录和证据留存的具体方式、使用规则等内容）详见谈判文件第一章。</w:t>
      </w:r>
      <w:r>
        <w:rPr>
          <w:rFonts w:ascii="宋体" w:hAnsi="宋体" w:cs="宋体"/>
          <w:color w:val="auto"/>
          <w:kern w:val="0"/>
          <w:sz w:val="24"/>
          <w:szCs w:val="24"/>
        </w:rPr>
        <w:t> </w:t>
      </w:r>
    </w:p>
    <w:p w14:paraId="6DB1134D">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w:t>
      </w:r>
    </w:p>
    <w:p w14:paraId="32EF0825">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w:t>
      </w:r>
    </w:p>
    <w:p w14:paraId="78BEDBCF">
      <w:pPr>
        <w:widowControl/>
        <w:spacing w:before="75" w:after="75" w:line="435" w:lineRule="atLeast"/>
        <w:rPr>
          <w:rFonts w:ascii="宋体" w:hAnsi="宋体" w:cs="宋体"/>
          <w:color w:val="auto"/>
          <w:kern w:val="0"/>
          <w:sz w:val="24"/>
        </w:rPr>
      </w:pPr>
      <w:r>
        <w:rPr>
          <w:rFonts w:ascii="宋体" w:hAnsi="宋体" w:cs="宋体"/>
          <w:color w:val="auto"/>
          <w:kern w:val="0"/>
          <w:sz w:val="24"/>
        </w:rPr>
        <w:t>供应商代表：             （签字） </w:t>
      </w:r>
    </w:p>
    <w:p w14:paraId="4EFBB501">
      <w:pPr>
        <w:widowControl/>
        <w:spacing w:before="75" w:after="75" w:line="435" w:lineRule="atLeast"/>
        <w:rPr>
          <w:rFonts w:ascii="宋体" w:hAnsi="宋体" w:cs="宋体"/>
          <w:color w:val="auto"/>
          <w:kern w:val="0"/>
          <w:sz w:val="24"/>
        </w:rPr>
      </w:pPr>
      <w:r>
        <w:rPr>
          <w:rFonts w:ascii="宋体" w:hAnsi="宋体" w:cs="宋体"/>
          <w:color w:val="auto"/>
          <w:kern w:val="0"/>
          <w:sz w:val="24"/>
        </w:rPr>
        <w:t>供应商名称：  （全称并加盖公章）              </w:t>
      </w:r>
    </w:p>
    <w:p w14:paraId="1DFE184D">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日  期：     年    月    日</w:t>
      </w:r>
    </w:p>
    <w:p w14:paraId="5A8B94FF">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w:t>
      </w:r>
    </w:p>
    <w:p w14:paraId="4C423FD8">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w:t>
      </w:r>
    </w:p>
    <w:p w14:paraId="0E87057F">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附件3</w:t>
      </w:r>
      <w:r>
        <w:rPr>
          <w:rFonts w:hint="eastAsia" w:ascii="宋体" w:hAnsi="宋体" w:cs="宋体"/>
          <w:color w:val="auto"/>
          <w:kern w:val="0"/>
          <w:sz w:val="24"/>
          <w:lang w:val="en-US" w:eastAsia="zh-CN"/>
        </w:rPr>
        <w:t>-8</w:t>
      </w:r>
      <w:r>
        <w:rPr>
          <w:rFonts w:ascii="宋体" w:hAnsi="宋体" w:cs="宋体"/>
          <w:color w:val="auto"/>
          <w:kern w:val="0"/>
          <w:sz w:val="24"/>
        </w:rPr>
        <w:t>   </w:t>
      </w:r>
      <w:r>
        <w:rPr>
          <w:rFonts w:ascii="宋体" w:hAnsi="宋体" w:cs="宋体"/>
          <w:b/>
          <w:bCs/>
          <w:color w:val="auto"/>
          <w:kern w:val="0"/>
          <w:sz w:val="24"/>
        </w:rPr>
        <w:t>检察机关行贿犯罪档案查询结果告知函（如果需要）</w:t>
      </w:r>
    </w:p>
    <w:p w14:paraId="226F2CCC">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w:t>
      </w:r>
    </w:p>
    <w:p w14:paraId="191511EA">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1.检察机关行贿犯罪档案查询结果告知函（以下简称：“告知函”）由供应商向住所地或业务发生地检察院申请查询，具体以检察院出具的为准。</w:t>
      </w:r>
    </w:p>
    <w:p w14:paraId="54643E1E">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2.采购人在谈判文件中约定是否需要提供“告知函”，如果需要提供“告知函”，则在谈判文件“供应商的资格”中特定资格条件中进行约定。如果特定资格条件中未明确约定，视同为本项目不需要提供“告知函”。</w:t>
      </w:r>
    </w:p>
    <w:p w14:paraId="78C5BFF9">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w:t>
      </w:r>
    </w:p>
    <w:p w14:paraId="52BABB7C">
      <w:pPr>
        <w:widowControl/>
        <w:spacing w:before="75" w:after="75" w:line="435" w:lineRule="atLeast"/>
        <w:jc w:val="left"/>
        <w:rPr>
          <w:rFonts w:ascii="宋体" w:hAnsi="宋体" w:cs="宋体"/>
          <w:color w:val="auto"/>
          <w:kern w:val="0"/>
          <w:sz w:val="24"/>
        </w:rPr>
      </w:pPr>
      <w:r>
        <w:rPr>
          <w:rFonts w:hint="eastAsia" w:ascii="宋体" w:hAnsi="宋体" w:cs="宋体"/>
          <w:color w:val="auto"/>
          <w:kern w:val="0"/>
          <w:sz w:val="24"/>
        </w:rPr>
        <w:t>★</w:t>
      </w:r>
      <w:r>
        <w:rPr>
          <w:rFonts w:ascii="宋体" w:hAnsi="宋体" w:cs="宋体"/>
          <w:color w:val="auto"/>
          <w:kern w:val="0"/>
          <w:sz w:val="24"/>
        </w:rPr>
        <w:t>谈判文件有要求提交“告知函”时注意：</w:t>
      </w:r>
    </w:p>
    <w:p w14:paraId="43F14A37">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1、供应商未提供行贿犯罪档案查询结果或查询结果有行贿犯罪记录的，</w:t>
      </w:r>
      <w:r>
        <w:rPr>
          <w:rFonts w:ascii="宋体" w:hAnsi="宋体" w:cs="宋体"/>
          <w:b/>
          <w:bCs/>
          <w:color w:val="auto"/>
          <w:kern w:val="0"/>
          <w:sz w:val="24"/>
        </w:rPr>
        <w:t>则供应商的响应文件将被否决</w:t>
      </w:r>
      <w:r>
        <w:rPr>
          <w:rFonts w:ascii="宋体" w:hAnsi="宋体" w:cs="宋体"/>
          <w:color w:val="auto"/>
          <w:kern w:val="0"/>
          <w:sz w:val="24"/>
        </w:rPr>
        <w:t>。</w:t>
      </w:r>
    </w:p>
    <w:p w14:paraId="31CF11D1">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2、告知函应在有效期内，</w:t>
      </w:r>
      <w:r>
        <w:rPr>
          <w:rFonts w:ascii="宋体" w:hAnsi="宋体" w:cs="宋体"/>
          <w:b/>
          <w:bCs/>
          <w:color w:val="auto"/>
          <w:kern w:val="0"/>
          <w:sz w:val="24"/>
        </w:rPr>
        <w:t>否则其响应文件将被否决</w:t>
      </w:r>
      <w:r>
        <w:rPr>
          <w:rFonts w:ascii="宋体" w:hAnsi="宋体" w:cs="宋体"/>
          <w:color w:val="auto"/>
          <w:kern w:val="0"/>
          <w:sz w:val="24"/>
        </w:rPr>
        <w:t>。有效期内的告知函复印件，无论内容中是否注明“复印件无效”，均视同有效。</w:t>
      </w:r>
    </w:p>
    <w:p w14:paraId="5D452A05">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3、若从检察机关指定网站下载打印或截图告知函，则告知函应为从前述指定网站获取的查询结果原始页面的打印件或完整截图，</w:t>
      </w:r>
      <w:r>
        <w:rPr>
          <w:rFonts w:ascii="宋体" w:hAnsi="宋体" w:cs="宋体"/>
          <w:b/>
          <w:bCs/>
          <w:color w:val="auto"/>
          <w:kern w:val="0"/>
          <w:sz w:val="24"/>
        </w:rPr>
        <w:t>否则其响应文件将被否决</w:t>
      </w:r>
      <w:r>
        <w:rPr>
          <w:rFonts w:ascii="宋体" w:hAnsi="宋体" w:cs="宋体"/>
          <w:color w:val="auto"/>
          <w:kern w:val="0"/>
          <w:sz w:val="24"/>
        </w:rPr>
        <w:t>。</w:t>
      </w:r>
    </w:p>
    <w:p w14:paraId="58CBA357">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4、若告知函未注明“复印件无效”，供应商可提供原件或复印件。</w:t>
      </w:r>
    </w:p>
    <w:p w14:paraId="4A892FEF">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5、对于接受联合体形式的谈判且供应商是联合体的，则联合体各成员都应当提交本资格证明文件。</w:t>
      </w:r>
    </w:p>
    <w:p w14:paraId="15AD710B">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w:t>
      </w:r>
    </w:p>
    <w:p w14:paraId="2C436709">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w:t>
      </w:r>
    </w:p>
    <w:p w14:paraId="6485E168">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w:t>
      </w:r>
    </w:p>
    <w:p w14:paraId="644F5C06">
      <w:pPr>
        <w:widowControl/>
        <w:spacing w:before="75" w:after="75" w:line="420" w:lineRule="atLeast"/>
        <w:jc w:val="left"/>
        <w:rPr>
          <w:rFonts w:ascii="宋体" w:hAnsi="宋体" w:cs="宋体"/>
          <w:color w:val="auto"/>
          <w:kern w:val="0"/>
          <w:sz w:val="24"/>
        </w:rPr>
      </w:pPr>
      <w:r>
        <w:rPr>
          <w:rFonts w:ascii="宋体" w:hAnsi="宋体" w:cs="宋体"/>
          <w:color w:val="auto"/>
          <w:kern w:val="0"/>
          <w:sz w:val="24"/>
        </w:rPr>
        <w:t> </w:t>
      </w:r>
    </w:p>
    <w:p w14:paraId="5A3CA23E">
      <w:pPr>
        <w:widowControl/>
        <w:spacing w:before="75" w:after="75" w:line="420" w:lineRule="atLeast"/>
        <w:jc w:val="left"/>
        <w:rPr>
          <w:rFonts w:ascii="宋体" w:hAnsi="宋体" w:cs="宋体"/>
          <w:color w:val="auto"/>
          <w:kern w:val="0"/>
          <w:sz w:val="24"/>
        </w:rPr>
      </w:pPr>
      <w:r>
        <w:rPr>
          <w:rFonts w:ascii="宋体" w:hAnsi="宋体" w:cs="宋体"/>
          <w:color w:val="auto"/>
          <w:kern w:val="0"/>
          <w:sz w:val="24"/>
        </w:rPr>
        <w:t> </w:t>
      </w:r>
    </w:p>
    <w:p w14:paraId="7F59FF0F">
      <w:pPr>
        <w:widowControl/>
        <w:spacing w:before="75" w:after="75" w:line="420" w:lineRule="atLeast"/>
        <w:jc w:val="left"/>
        <w:rPr>
          <w:rFonts w:ascii="宋体" w:hAnsi="宋体" w:cs="宋体"/>
          <w:color w:val="auto"/>
          <w:kern w:val="0"/>
          <w:sz w:val="24"/>
        </w:rPr>
      </w:pPr>
      <w:r>
        <w:rPr>
          <w:rFonts w:ascii="宋体" w:hAnsi="宋体" w:cs="宋体"/>
          <w:color w:val="auto"/>
          <w:kern w:val="0"/>
          <w:sz w:val="24"/>
        </w:rPr>
        <w:t> </w:t>
      </w:r>
    </w:p>
    <w:p w14:paraId="49BDA240">
      <w:pPr>
        <w:widowControl/>
        <w:spacing w:before="75" w:after="75" w:line="420" w:lineRule="atLeast"/>
        <w:jc w:val="left"/>
        <w:rPr>
          <w:rFonts w:ascii="宋体" w:hAnsi="宋体" w:cs="宋体"/>
          <w:color w:val="auto"/>
          <w:kern w:val="0"/>
          <w:sz w:val="24"/>
        </w:rPr>
      </w:pPr>
      <w:r>
        <w:rPr>
          <w:rFonts w:ascii="宋体" w:hAnsi="宋体" w:cs="宋体"/>
          <w:color w:val="auto"/>
          <w:kern w:val="0"/>
          <w:sz w:val="24"/>
        </w:rPr>
        <w:t> </w:t>
      </w:r>
    </w:p>
    <w:p w14:paraId="1AFB8202">
      <w:pPr>
        <w:widowControl/>
        <w:spacing w:before="75" w:after="75" w:line="420" w:lineRule="atLeast"/>
        <w:jc w:val="left"/>
        <w:rPr>
          <w:rFonts w:ascii="宋体" w:hAnsi="宋体" w:cs="宋体"/>
          <w:color w:val="auto"/>
          <w:kern w:val="0"/>
          <w:sz w:val="24"/>
        </w:rPr>
      </w:pPr>
      <w:r>
        <w:rPr>
          <w:rFonts w:ascii="宋体" w:hAnsi="宋体" w:cs="宋体"/>
          <w:color w:val="auto"/>
          <w:kern w:val="0"/>
          <w:sz w:val="24"/>
        </w:rPr>
        <w:t> </w:t>
      </w:r>
    </w:p>
    <w:p w14:paraId="11C9DE49">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br w:type="textWrapping"/>
      </w:r>
    </w:p>
    <w:p w14:paraId="353CD5C4">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附件3-</w:t>
      </w:r>
      <w:r>
        <w:rPr>
          <w:rFonts w:hint="eastAsia" w:ascii="宋体" w:hAnsi="宋体" w:cs="宋体"/>
          <w:color w:val="auto"/>
          <w:kern w:val="0"/>
          <w:sz w:val="24"/>
          <w:lang w:val="en-US" w:eastAsia="zh-CN"/>
        </w:rPr>
        <w:t>9</w:t>
      </w:r>
      <w:r>
        <w:rPr>
          <w:rFonts w:ascii="宋体" w:hAnsi="宋体" w:cs="宋体"/>
          <w:color w:val="auto"/>
          <w:kern w:val="0"/>
          <w:sz w:val="24"/>
        </w:rPr>
        <w:t>      </w:t>
      </w:r>
      <w:r>
        <w:rPr>
          <w:rFonts w:ascii="宋体" w:hAnsi="宋体" w:cs="宋体"/>
          <w:b/>
          <w:bCs/>
          <w:color w:val="auto"/>
          <w:kern w:val="0"/>
          <w:sz w:val="24"/>
        </w:rPr>
        <w:t>  联合体协议</w:t>
      </w:r>
    </w:p>
    <w:p w14:paraId="4E37D5F6">
      <w:pPr>
        <w:widowControl/>
        <w:spacing w:before="75" w:after="75" w:line="435" w:lineRule="atLeast"/>
        <w:jc w:val="center"/>
        <w:rPr>
          <w:rFonts w:ascii="宋体" w:hAnsi="宋体" w:cs="宋体"/>
          <w:color w:val="auto"/>
          <w:kern w:val="0"/>
          <w:sz w:val="24"/>
        </w:rPr>
      </w:pPr>
      <w:r>
        <w:rPr>
          <w:rFonts w:ascii="宋体" w:hAnsi="宋体" w:cs="宋体"/>
          <w:b/>
          <w:bCs/>
          <w:color w:val="auto"/>
          <w:kern w:val="0"/>
          <w:sz w:val="24"/>
        </w:rPr>
        <w:t>（接受联合体的项目使用）</w:t>
      </w:r>
    </w:p>
    <w:p w14:paraId="554CC194">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w:t>
      </w:r>
    </w:p>
    <w:p w14:paraId="17D84377">
      <w:pPr>
        <w:widowControl/>
        <w:spacing w:before="75" w:after="75" w:line="435" w:lineRule="atLeast"/>
        <w:rPr>
          <w:rFonts w:ascii="宋体" w:hAnsi="宋体" w:cs="宋体"/>
          <w:color w:val="auto"/>
          <w:kern w:val="0"/>
          <w:sz w:val="24"/>
        </w:rPr>
      </w:pPr>
      <w:r>
        <w:rPr>
          <w:rFonts w:ascii="宋体" w:hAnsi="宋体" w:cs="宋体"/>
          <w:color w:val="auto"/>
          <w:kern w:val="0"/>
          <w:sz w:val="24"/>
        </w:rPr>
        <w:t>致：(采购人或采购代理机构</w:t>
      </w:r>
      <w:r>
        <w:rPr>
          <w:rFonts w:ascii="Calibri" w:hAnsi="Calibri" w:cs="宋体"/>
          <w:color w:val="auto"/>
          <w:kern w:val="0"/>
          <w:sz w:val="24"/>
        </w:rPr>
        <w:t>)    </w:t>
      </w:r>
      <w:r>
        <w:rPr>
          <w:rFonts w:ascii="宋体" w:hAnsi="宋体" w:cs="宋体"/>
          <w:color w:val="auto"/>
          <w:kern w:val="0"/>
          <w:sz w:val="24"/>
        </w:rPr>
        <w:t> </w:t>
      </w:r>
    </w:p>
    <w:p w14:paraId="517A7325">
      <w:pPr>
        <w:widowControl/>
        <w:spacing w:before="75" w:after="75" w:line="435" w:lineRule="atLeast"/>
        <w:rPr>
          <w:rFonts w:ascii="宋体" w:hAnsi="宋体" w:cs="宋体"/>
          <w:color w:val="auto"/>
          <w:kern w:val="0"/>
          <w:sz w:val="24"/>
        </w:rPr>
      </w:pPr>
      <w:r>
        <w:rPr>
          <w:rFonts w:ascii="宋体" w:hAnsi="宋体" w:cs="宋体"/>
          <w:color w:val="auto"/>
          <w:kern w:val="0"/>
          <w:sz w:val="24"/>
        </w:rPr>
        <w:t>    兹有（填写“联合体中各方的全称”，各方的全称之间请用“、”分割）自愿组成联合体，共同参加（填写 “项目名称” ） 项目（项目编号：       ）的响应谈判。现就联合体参加本项目响应谈判的有关事宜达成下列协议：</w:t>
      </w:r>
    </w:p>
    <w:p w14:paraId="5A8EB0B1">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一、联合体各方应承担的工作和义务具体如下：</w:t>
      </w:r>
      <w:r>
        <w:rPr>
          <w:rFonts w:ascii="宋体" w:hAnsi="宋体" w:cs="宋体"/>
          <w:color w:val="auto"/>
          <w:kern w:val="0"/>
          <w:sz w:val="24"/>
        </w:rPr>
        <w:br w:type="textWrapping"/>
      </w:r>
      <w:r>
        <w:rPr>
          <w:rFonts w:ascii="宋体" w:hAnsi="宋体" w:cs="宋体"/>
          <w:color w:val="auto"/>
          <w:kern w:val="0"/>
          <w:sz w:val="24"/>
        </w:rPr>
        <w:t>1、联合体牵头方单位名称：                                  </w:t>
      </w:r>
      <w:r>
        <w:rPr>
          <w:rFonts w:ascii="宋体" w:hAnsi="宋体" w:cs="宋体"/>
          <w:color w:val="auto"/>
          <w:kern w:val="0"/>
          <w:sz w:val="24"/>
        </w:rPr>
        <w:br w:type="textWrapping"/>
      </w:r>
      <w:r>
        <w:rPr>
          <w:rFonts w:ascii="宋体" w:hAnsi="宋体" w:cs="宋体"/>
          <w:color w:val="auto"/>
          <w:kern w:val="0"/>
          <w:sz w:val="24"/>
        </w:rPr>
        <w:t>（填写“工作及义务的具体内容”） ；</w:t>
      </w:r>
    </w:p>
    <w:p w14:paraId="13FDAB3F">
      <w:pPr>
        <w:widowControl/>
        <w:spacing w:before="75" w:after="75" w:line="435" w:lineRule="atLeast"/>
        <w:jc w:val="right"/>
        <w:rPr>
          <w:rFonts w:ascii="宋体" w:hAnsi="宋体" w:cs="宋体"/>
          <w:color w:val="auto"/>
          <w:kern w:val="0"/>
          <w:sz w:val="24"/>
        </w:rPr>
      </w:pPr>
      <w:r>
        <w:rPr>
          <w:rFonts w:ascii="宋体" w:hAnsi="宋体" w:cs="宋体"/>
          <w:color w:val="auto"/>
          <w:kern w:val="0"/>
          <w:sz w:val="24"/>
        </w:rPr>
        <w:t>2、联合体成员方单位名称：                                    </w:t>
      </w:r>
    </w:p>
    <w:p w14:paraId="1D0D8898">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2.1（成员一的全称）： （填写“工作及义务的具体内容”） ；</w:t>
      </w:r>
    </w:p>
    <w:p w14:paraId="1C6B303C">
      <w:pPr>
        <w:widowControl/>
        <w:spacing w:before="75" w:after="75" w:line="435" w:lineRule="atLeast"/>
        <w:ind w:firstLine="480"/>
        <w:rPr>
          <w:rFonts w:ascii="宋体" w:hAnsi="宋体" w:cs="宋体"/>
          <w:color w:val="auto"/>
          <w:kern w:val="0"/>
          <w:sz w:val="24"/>
        </w:rPr>
      </w:pPr>
      <w:r>
        <w:rPr>
          <w:rFonts w:ascii="宋体" w:hAnsi="宋体" w:cs="宋体"/>
          <w:color w:val="auto"/>
          <w:kern w:val="0"/>
          <w:sz w:val="24"/>
        </w:rPr>
        <w:t>……</w:t>
      </w:r>
    </w:p>
    <w:p w14:paraId="2CD097DF">
      <w:pPr>
        <w:widowControl/>
        <w:spacing w:before="75" w:after="75" w:line="435" w:lineRule="atLeast"/>
        <w:rPr>
          <w:rFonts w:ascii="宋体" w:hAnsi="宋体" w:cs="宋体"/>
          <w:color w:val="auto"/>
          <w:kern w:val="0"/>
          <w:sz w:val="24"/>
        </w:rPr>
      </w:pPr>
      <w:r>
        <w:rPr>
          <w:rFonts w:ascii="宋体" w:hAnsi="宋体" w:cs="宋体"/>
          <w:color w:val="auto"/>
          <w:kern w:val="0"/>
          <w:sz w:val="24"/>
        </w:rPr>
        <w:t>   ……。</w:t>
      </w:r>
    </w:p>
    <w:p w14:paraId="6A80BEDF">
      <w:pPr>
        <w:widowControl/>
        <w:spacing w:before="75" w:after="75" w:line="435" w:lineRule="atLeast"/>
        <w:rPr>
          <w:rFonts w:ascii="宋体" w:hAnsi="宋体" w:cs="宋体"/>
          <w:color w:val="auto"/>
          <w:kern w:val="0"/>
          <w:sz w:val="24"/>
        </w:rPr>
      </w:pPr>
      <w:r>
        <w:rPr>
          <w:rFonts w:ascii="宋体" w:hAnsi="宋体" w:cs="宋体"/>
          <w:color w:val="auto"/>
          <w:kern w:val="0"/>
          <w:sz w:val="24"/>
        </w:rPr>
        <w:t>二、联合体各方约定由（填写“牵头方的全称”）代表联合体办理参加本项目响应谈判的有关事宜（包括但不限于：派出供应商代表、提交响应文件及参加谈判、澄清等工作），在此过程中，供应商代表签署的一切文件和处理结果，联合体各方均予以认可并对此承担责任。</w:t>
      </w:r>
    </w:p>
    <w:p w14:paraId="6A23BCB7">
      <w:pPr>
        <w:widowControl/>
        <w:spacing w:before="75" w:after="75" w:line="435" w:lineRule="atLeast"/>
        <w:rPr>
          <w:rFonts w:ascii="宋体" w:hAnsi="宋体" w:cs="宋体"/>
          <w:color w:val="auto"/>
          <w:kern w:val="0"/>
          <w:sz w:val="24"/>
        </w:rPr>
      </w:pPr>
      <w:r>
        <w:rPr>
          <w:rFonts w:ascii="宋体" w:hAnsi="宋体" w:cs="宋体"/>
          <w:color w:val="auto"/>
          <w:kern w:val="0"/>
          <w:sz w:val="24"/>
        </w:rPr>
        <w:t>三、联合体各方约定由（填写填写“牵头方的全称”）代表联合体办理谈判保证金事宜。</w:t>
      </w:r>
    </w:p>
    <w:p w14:paraId="3AE816D0">
      <w:pPr>
        <w:widowControl/>
        <w:spacing w:before="75" w:after="75" w:line="435" w:lineRule="atLeast"/>
        <w:rPr>
          <w:rFonts w:ascii="宋体" w:hAnsi="宋体" w:cs="宋体"/>
          <w:color w:val="auto"/>
          <w:kern w:val="0"/>
          <w:sz w:val="24"/>
        </w:rPr>
      </w:pPr>
      <w:r>
        <w:rPr>
          <w:rFonts w:ascii="宋体" w:hAnsi="宋体" w:cs="宋体"/>
          <w:color w:val="auto"/>
          <w:kern w:val="0"/>
          <w:sz w:val="24"/>
        </w:rPr>
        <w:t>四、若成交，牵头方将代表联合体与采购人就合同签订事宜进行协商；若协商一致，则联合体各方将共同与采购人签订政府采购合同，并就政府采购合同约定的事项对采购人承担连带责任。</w:t>
      </w:r>
    </w:p>
    <w:p w14:paraId="64264299">
      <w:pPr>
        <w:widowControl/>
        <w:spacing w:before="75" w:after="75" w:line="435" w:lineRule="atLeast"/>
        <w:rPr>
          <w:rFonts w:ascii="宋体" w:hAnsi="宋体" w:cs="宋体"/>
          <w:color w:val="auto"/>
          <w:kern w:val="0"/>
          <w:sz w:val="24"/>
        </w:rPr>
      </w:pPr>
      <w:r>
        <w:rPr>
          <w:rFonts w:ascii="宋体" w:hAnsi="宋体" w:cs="宋体"/>
          <w:color w:val="auto"/>
          <w:kern w:val="0"/>
          <w:sz w:val="24"/>
        </w:rPr>
        <w:t>五、本协议自签署之日起生效，政府采购合同履行完毕后自动失效。</w:t>
      </w:r>
    </w:p>
    <w:p w14:paraId="1228DD20">
      <w:pPr>
        <w:widowControl/>
        <w:spacing w:before="75" w:after="75" w:line="435" w:lineRule="atLeast"/>
        <w:rPr>
          <w:rFonts w:ascii="宋体" w:hAnsi="宋体" w:cs="宋体"/>
          <w:color w:val="auto"/>
          <w:kern w:val="0"/>
          <w:sz w:val="24"/>
        </w:rPr>
      </w:pPr>
      <w:r>
        <w:rPr>
          <w:rFonts w:ascii="宋体" w:hAnsi="宋体" w:cs="宋体"/>
          <w:color w:val="auto"/>
          <w:kern w:val="0"/>
          <w:sz w:val="24"/>
        </w:rPr>
        <w:t>六、本协议一式（填写具体份数）份，联合体各方各执一份，响应文件中提交一份。</w:t>
      </w:r>
    </w:p>
    <w:p w14:paraId="608A0555">
      <w:pPr>
        <w:widowControl/>
        <w:spacing w:before="75" w:after="75" w:line="435" w:lineRule="atLeast"/>
        <w:rPr>
          <w:rFonts w:ascii="宋体" w:hAnsi="宋体" w:cs="宋体"/>
          <w:color w:val="auto"/>
          <w:kern w:val="0"/>
          <w:sz w:val="24"/>
        </w:rPr>
      </w:pPr>
      <w:r>
        <w:rPr>
          <w:rFonts w:ascii="宋体" w:hAnsi="宋体" w:cs="宋体"/>
          <w:color w:val="auto"/>
          <w:kern w:val="0"/>
          <w:sz w:val="24"/>
        </w:rPr>
        <w:t>（以下无正文）</w:t>
      </w:r>
    </w:p>
    <w:p w14:paraId="16BB7B6A">
      <w:pPr>
        <w:widowControl/>
        <w:spacing w:before="75" w:after="75" w:line="435" w:lineRule="atLeast"/>
        <w:rPr>
          <w:rFonts w:ascii="宋体" w:hAnsi="宋体" w:cs="宋体"/>
          <w:color w:val="auto"/>
          <w:kern w:val="0"/>
          <w:sz w:val="24"/>
        </w:rPr>
      </w:pPr>
      <w:r>
        <w:rPr>
          <w:rFonts w:ascii="宋体" w:hAnsi="宋体" w:cs="宋体"/>
          <w:color w:val="auto"/>
          <w:kern w:val="0"/>
          <w:sz w:val="24"/>
        </w:rPr>
        <w:t> </w:t>
      </w:r>
    </w:p>
    <w:p w14:paraId="6AA58E94">
      <w:pPr>
        <w:widowControl/>
        <w:spacing w:before="75" w:after="75" w:line="435" w:lineRule="atLeast"/>
        <w:rPr>
          <w:rFonts w:ascii="宋体" w:hAnsi="宋体" w:cs="宋体"/>
          <w:color w:val="auto"/>
          <w:kern w:val="0"/>
          <w:sz w:val="24"/>
        </w:rPr>
      </w:pPr>
      <w:r>
        <w:rPr>
          <w:rFonts w:ascii="宋体" w:hAnsi="宋体" w:cs="宋体"/>
          <w:color w:val="auto"/>
          <w:kern w:val="0"/>
          <w:sz w:val="24"/>
        </w:rPr>
        <w:t>牵头方：（全称并加盖单位公章）</w:t>
      </w:r>
    </w:p>
    <w:p w14:paraId="7B8698F0">
      <w:pPr>
        <w:widowControl/>
        <w:spacing w:before="75" w:after="75" w:line="435" w:lineRule="atLeast"/>
        <w:rPr>
          <w:rFonts w:ascii="宋体" w:hAnsi="宋体" w:cs="宋体"/>
          <w:color w:val="auto"/>
          <w:kern w:val="0"/>
          <w:sz w:val="24"/>
        </w:rPr>
      </w:pPr>
      <w:r>
        <w:rPr>
          <w:rFonts w:ascii="宋体" w:hAnsi="宋体" w:cs="宋体"/>
          <w:color w:val="auto"/>
          <w:kern w:val="0"/>
          <w:sz w:val="24"/>
        </w:rPr>
        <w:t>供应商代表：  （签字或盖章）  </w:t>
      </w:r>
    </w:p>
    <w:p w14:paraId="128E73F8">
      <w:pPr>
        <w:widowControl/>
        <w:spacing w:before="75" w:after="75" w:line="435" w:lineRule="atLeast"/>
        <w:rPr>
          <w:rFonts w:ascii="宋体" w:hAnsi="宋体" w:cs="宋体"/>
          <w:color w:val="auto"/>
          <w:kern w:val="0"/>
          <w:sz w:val="24"/>
        </w:rPr>
      </w:pPr>
      <w:r>
        <w:rPr>
          <w:rFonts w:ascii="宋体" w:hAnsi="宋体" w:cs="宋体"/>
          <w:color w:val="auto"/>
          <w:kern w:val="0"/>
          <w:sz w:val="24"/>
        </w:rPr>
        <w:t> </w:t>
      </w:r>
    </w:p>
    <w:p w14:paraId="7F33C73A">
      <w:pPr>
        <w:widowControl/>
        <w:spacing w:before="75" w:after="75" w:line="435" w:lineRule="atLeast"/>
        <w:rPr>
          <w:rFonts w:ascii="宋体" w:hAnsi="宋体" w:cs="宋体"/>
          <w:color w:val="auto"/>
          <w:kern w:val="0"/>
          <w:sz w:val="24"/>
        </w:rPr>
      </w:pPr>
      <w:r>
        <w:rPr>
          <w:rFonts w:ascii="宋体" w:hAnsi="宋体" w:cs="宋体"/>
          <w:color w:val="auto"/>
          <w:kern w:val="0"/>
          <w:sz w:val="24"/>
        </w:rPr>
        <w:t>成员一：（全称并加盖成员一的单位公章）</w:t>
      </w:r>
    </w:p>
    <w:p w14:paraId="57BE4D1F">
      <w:pPr>
        <w:widowControl/>
        <w:spacing w:before="75" w:after="75" w:line="435" w:lineRule="atLeast"/>
        <w:rPr>
          <w:rFonts w:ascii="宋体" w:hAnsi="宋体" w:cs="宋体"/>
          <w:color w:val="auto"/>
          <w:kern w:val="0"/>
          <w:sz w:val="24"/>
        </w:rPr>
      </w:pPr>
      <w:r>
        <w:rPr>
          <w:rFonts w:ascii="宋体" w:hAnsi="宋体" w:cs="宋体"/>
          <w:color w:val="auto"/>
          <w:kern w:val="0"/>
          <w:sz w:val="24"/>
        </w:rPr>
        <w:t>供应商代表：  （签字或盖章）  </w:t>
      </w:r>
    </w:p>
    <w:p w14:paraId="68262671">
      <w:pPr>
        <w:widowControl/>
        <w:spacing w:before="75" w:after="75" w:line="435" w:lineRule="atLeast"/>
        <w:rPr>
          <w:rFonts w:ascii="宋体" w:hAnsi="宋体" w:cs="宋体"/>
          <w:color w:val="auto"/>
          <w:kern w:val="0"/>
          <w:sz w:val="24"/>
        </w:rPr>
      </w:pPr>
      <w:r>
        <w:rPr>
          <w:rFonts w:ascii="宋体" w:hAnsi="宋体" w:cs="宋体"/>
          <w:color w:val="auto"/>
          <w:kern w:val="0"/>
          <w:sz w:val="24"/>
        </w:rPr>
        <w:t>……</w:t>
      </w:r>
    </w:p>
    <w:p w14:paraId="4F12F7B6">
      <w:pPr>
        <w:widowControl/>
        <w:spacing w:before="75" w:after="75" w:line="435" w:lineRule="atLeast"/>
        <w:rPr>
          <w:rFonts w:ascii="宋体" w:hAnsi="宋体" w:cs="宋体"/>
          <w:color w:val="auto"/>
          <w:kern w:val="0"/>
          <w:sz w:val="24"/>
        </w:rPr>
      </w:pPr>
      <w:r>
        <w:rPr>
          <w:rFonts w:ascii="宋体" w:hAnsi="宋体" w:cs="宋体"/>
          <w:color w:val="auto"/>
          <w:kern w:val="0"/>
          <w:sz w:val="24"/>
        </w:rPr>
        <w:t> </w:t>
      </w:r>
    </w:p>
    <w:p w14:paraId="0A665475">
      <w:pPr>
        <w:widowControl/>
        <w:spacing w:before="75" w:after="75" w:line="435" w:lineRule="atLeast"/>
        <w:rPr>
          <w:rFonts w:ascii="宋体" w:hAnsi="宋体" w:cs="宋体"/>
          <w:color w:val="auto"/>
          <w:kern w:val="0"/>
          <w:sz w:val="24"/>
        </w:rPr>
      </w:pPr>
      <w:r>
        <w:rPr>
          <w:rFonts w:ascii="宋体" w:hAnsi="宋体" w:cs="宋体"/>
          <w:color w:val="auto"/>
          <w:kern w:val="0"/>
          <w:sz w:val="24"/>
        </w:rPr>
        <w:t>成员**：（全称并加盖成员**的单位公章）</w:t>
      </w:r>
    </w:p>
    <w:p w14:paraId="39E0DE9A">
      <w:pPr>
        <w:widowControl/>
        <w:spacing w:before="75" w:after="75" w:line="435" w:lineRule="atLeast"/>
        <w:rPr>
          <w:rFonts w:ascii="宋体" w:hAnsi="宋体" w:cs="宋体"/>
          <w:color w:val="auto"/>
          <w:kern w:val="0"/>
          <w:sz w:val="24"/>
        </w:rPr>
      </w:pPr>
      <w:r>
        <w:rPr>
          <w:rFonts w:ascii="宋体" w:hAnsi="宋体" w:cs="宋体"/>
          <w:color w:val="auto"/>
          <w:kern w:val="0"/>
          <w:sz w:val="24"/>
        </w:rPr>
        <w:t>供应商代表：  （签字或盖章）  </w:t>
      </w:r>
    </w:p>
    <w:p w14:paraId="294124DB">
      <w:pPr>
        <w:widowControl/>
        <w:spacing w:before="75" w:after="75" w:line="435" w:lineRule="atLeast"/>
        <w:rPr>
          <w:rFonts w:ascii="宋体" w:hAnsi="宋体" w:cs="宋体"/>
          <w:color w:val="auto"/>
          <w:kern w:val="0"/>
          <w:sz w:val="24"/>
        </w:rPr>
      </w:pPr>
      <w:r>
        <w:rPr>
          <w:rFonts w:ascii="宋体" w:hAnsi="宋体" w:cs="宋体"/>
          <w:color w:val="auto"/>
          <w:kern w:val="0"/>
          <w:sz w:val="24"/>
        </w:rPr>
        <w:t> </w:t>
      </w:r>
    </w:p>
    <w:p w14:paraId="09417C3D">
      <w:pPr>
        <w:widowControl/>
        <w:spacing w:before="75" w:after="75" w:line="435" w:lineRule="atLeast"/>
        <w:rPr>
          <w:rFonts w:ascii="宋体" w:hAnsi="宋体" w:cs="宋体"/>
          <w:color w:val="auto"/>
          <w:kern w:val="0"/>
          <w:sz w:val="24"/>
        </w:rPr>
      </w:pPr>
      <w:r>
        <w:rPr>
          <w:rFonts w:ascii="宋体" w:hAnsi="宋体" w:cs="宋体"/>
          <w:color w:val="auto"/>
          <w:kern w:val="0"/>
          <w:sz w:val="24"/>
        </w:rPr>
        <w:t> </w:t>
      </w:r>
    </w:p>
    <w:p w14:paraId="7902AFC9">
      <w:pPr>
        <w:widowControl/>
        <w:spacing w:before="75" w:after="75" w:line="435" w:lineRule="atLeast"/>
        <w:rPr>
          <w:rFonts w:ascii="宋体" w:hAnsi="宋体" w:cs="宋体"/>
          <w:color w:val="auto"/>
          <w:kern w:val="0"/>
          <w:sz w:val="24"/>
        </w:rPr>
      </w:pPr>
      <w:r>
        <w:rPr>
          <w:rFonts w:ascii="宋体" w:hAnsi="宋体" w:cs="宋体"/>
          <w:color w:val="auto"/>
          <w:kern w:val="0"/>
          <w:sz w:val="24"/>
        </w:rPr>
        <w:t>签署日期：    年    月    日</w:t>
      </w:r>
    </w:p>
    <w:p w14:paraId="5B87E24D">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w:t>
      </w:r>
    </w:p>
    <w:p w14:paraId="29FF8427">
      <w:pPr>
        <w:widowControl/>
        <w:spacing w:before="75" w:after="75" w:line="435" w:lineRule="atLeast"/>
        <w:jc w:val="left"/>
        <w:rPr>
          <w:rFonts w:ascii="宋体" w:hAnsi="宋体" w:cs="宋体"/>
          <w:color w:val="auto"/>
          <w:kern w:val="0"/>
          <w:sz w:val="24"/>
        </w:rPr>
      </w:pPr>
      <w:r>
        <w:rPr>
          <w:rFonts w:hint="eastAsia" w:ascii="宋体" w:hAnsi="宋体" w:cs="宋体"/>
          <w:color w:val="auto"/>
          <w:kern w:val="0"/>
          <w:szCs w:val="21"/>
        </w:rPr>
        <w:t>★</w:t>
      </w:r>
      <w:r>
        <w:rPr>
          <w:rFonts w:ascii="宋体" w:hAnsi="宋体" w:cs="宋体"/>
          <w:color w:val="auto"/>
          <w:kern w:val="0"/>
          <w:szCs w:val="21"/>
        </w:rPr>
        <w:t>注意：</w:t>
      </w:r>
    </w:p>
    <w:p w14:paraId="2E1B2E86">
      <w:pPr>
        <w:widowControl/>
        <w:spacing w:before="75" w:after="75"/>
        <w:jc w:val="left"/>
        <w:rPr>
          <w:rFonts w:ascii="宋体" w:hAnsi="宋体" w:cs="宋体"/>
          <w:color w:val="auto"/>
          <w:kern w:val="0"/>
          <w:sz w:val="24"/>
        </w:rPr>
      </w:pPr>
      <w:r>
        <w:rPr>
          <w:rFonts w:ascii="宋体" w:hAnsi="宋体" w:cs="宋体"/>
          <w:color w:val="auto"/>
          <w:kern w:val="0"/>
          <w:szCs w:val="21"/>
        </w:rPr>
        <w:t>1、若谈判文件规定接受联合体形式且供应商为联合体的，则供应商应提供本协议；否则无须提供。</w:t>
      </w:r>
    </w:p>
    <w:p w14:paraId="336B928D">
      <w:pPr>
        <w:widowControl/>
        <w:spacing w:before="75" w:after="75"/>
        <w:jc w:val="left"/>
        <w:rPr>
          <w:rFonts w:ascii="宋体" w:hAnsi="宋体" w:cs="宋体"/>
          <w:color w:val="auto"/>
          <w:kern w:val="0"/>
          <w:sz w:val="24"/>
        </w:rPr>
      </w:pPr>
      <w:r>
        <w:rPr>
          <w:rFonts w:ascii="宋体" w:hAnsi="宋体" w:cs="宋体"/>
          <w:color w:val="auto"/>
          <w:kern w:val="0"/>
          <w:szCs w:val="21"/>
        </w:rPr>
        <w:t>2、本协议中的供应商代表如果不是竞争性谈判须知中定义的“单位负责人”，则还必须提供“单位负责人授权书”。</w:t>
      </w:r>
    </w:p>
    <w:p w14:paraId="480D5503">
      <w:pPr>
        <w:widowControl/>
        <w:spacing w:before="75" w:after="75"/>
        <w:jc w:val="left"/>
        <w:rPr>
          <w:rFonts w:ascii="宋体" w:hAnsi="宋体" w:cs="宋体"/>
          <w:color w:val="auto"/>
          <w:kern w:val="0"/>
          <w:sz w:val="24"/>
        </w:rPr>
      </w:pPr>
      <w:r>
        <w:rPr>
          <w:rFonts w:ascii="宋体" w:hAnsi="宋体" w:cs="宋体"/>
          <w:color w:val="auto"/>
          <w:kern w:val="0"/>
          <w:szCs w:val="21"/>
        </w:rPr>
        <w:t>3、若谈判文件规定接受联合体形式且供应商为联合体的，纸质响应文件正本中的本协议应为原件。</w:t>
      </w:r>
    </w:p>
    <w:p w14:paraId="37DF9D36">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w:t>
      </w:r>
    </w:p>
    <w:p w14:paraId="32333D20">
      <w:pPr>
        <w:widowControl/>
        <w:spacing w:before="75" w:after="75"/>
        <w:jc w:val="left"/>
        <w:rPr>
          <w:rFonts w:ascii="宋体" w:hAnsi="宋体" w:cs="宋体"/>
          <w:color w:val="auto"/>
          <w:kern w:val="0"/>
          <w:sz w:val="24"/>
        </w:rPr>
      </w:pPr>
      <w:r>
        <w:rPr>
          <w:rFonts w:ascii="宋体" w:hAnsi="宋体" w:cs="宋体"/>
          <w:color w:val="auto"/>
          <w:kern w:val="0"/>
          <w:sz w:val="24"/>
        </w:rPr>
        <w:t> </w:t>
      </w:r>
    </w:p>
    <w:p w14:paraId="69473664">
      <w:pPr>
        <w:widowControl/>
        <w:spacing w:before="75" w:after="75"/>
        <w:jc w:val="left"/>
        <w:rPr>
          <w:rFonts w:ascii="宋体" w:hAnsi="宋体" w:cs="宋体"/>
          <w:color w:val="auto"/>
          <w:kern w:val="0"/>
          <w:sz w:val="24"/>
        </w:rPr>
      </w:pPr>
      <w:r>
        <w:rPr>
          <w:rFonts w:ascii="宋体" w:hAnsi="宋体" w:cs="宋体"/>
          <w:color w:val="auto"/>
          <w:kern w:val="0"/>
          <w:sz w:val="24"/>
        </w:rPr>
        <w:br w:type="textWrapping"/>
      </w:r>
    </w:p>
    <w:p w14:paraId="3A069084">
      <w:pPr>
        <w:widowControl/>
        <w:jc w:val="left"/>
        <w:rPr>
          <w:rFonts w:ascii="宋体" w:hAnsi="宋体" w:cs="宋体"/>
          <w:color w:val="auto"/>
          <w:kern w:val="0"/>
          <w:sz w:val="24"/>
        </w:rPr>
      </w:pPr>
      <w:r>
        <w:rPr>
          <w:rFonts w:ascii="宋体" w:hAnsi="宋体" w:cs="宋体"/>
          <w:color w:val="auto"/>
          <w:kern w:val="0"/>
          <w:sz w:val="24"/>
        </w:rPr>
        <w:br w:type="page"/>
      </w:r>
    </w:p>
    <w:p w14:paraId="3F203BA8">
      <w:pPr>
        <w:widowControl/>
        <w:spacing w:before="75" w:after="75"/>
        <w:jc w:val="left"/>
        <w:rPr>
          <w:rFonts w:ascii="宋体" w:hAnsi="宋体" w:cs="宋体"/>
          <w:color w:val="auto"/>
          <w:kern w:val="0"/>
          <w:sz w:val="24"/>
        </w:rPr>
      </w:pPr>
      <w:r>
        <w:rPr>
          <w:rFonts w:ascii="宋体" w:hAnsi="宋体" w:cs="宋体"/>
          <w:color w:val="auto"/>
          <w:kern w:val="0"/>
          <w:sz w:val="24"/>
        </w:rPr>
        <w:t>附件3-</w:t>
      </w:r>
      <w:r>
        <w:rPr>
          <w:rFonts w:hint="eastAsia" w:ascii="宋体" w:hAnsi="宋体" w:cs="宋体"/>
          <w:color w:val="auto"/>
          <w:kern w:val="0"/>
          <w:sz w:val="24"/>
          <w:lang w:val="en-US" w:eastAsia="zh-CN"/>
        </w:rPr>
        <w:t>10</w:t>
      </w:r>
      <w:r>
        <w:rPr>
          <w:rFonts w:ascii="宋体" w:hAnsi="宋体" w:cs="宋体"/>
          <w:color w:val="auto"/>
          <w:kern w:val="0"/>
          <w:sz w:val="24"/>
        </w:rPr>
        <w:t>          </w:t>
      </w:r>
      <w:r>
        <w:rPr>
          <w:rFonts w:ascii="宋体" w:hAnsi="宋体" w:cs="宋体"/>
          <w:b/>
          <w:bCs/>
          <w:color w:val="auto"/>
          <w:kern w:val="0"/>
          <w:sz w:val="24"/>
        </w:rPr>
        <w:t>其它资格证明文件</w:t>
      </w:r>
    </w:p>
    <w:p w14:paraId="3C6A25EF">
      <w:pPr>
        <w:widowControl/>
        <w:spacing w:before="75" w:after="75" w:line="420" w:lineRule="atLeast"/>
        <w:jc w:val="center"/>
        <w:rPr>
          <w:rFonts w:ascii="宋体" w:hAnsi="宋体" w:cs="宋体"/>
          <w:color w:val="auto"/>
          <w:kern w:val="0"/>
          <w:sz w:val="24"/>
        </w:rPr>
      </w:pPr>
      <w:r>
        <w:rPr>
          <w:rFonts w:ascii="宋体" w:hAnsi="宋体" w:cs="宋体"/>
          <w:b/>
          <w:bCs/>
          <w:color w:val="auto"/>
          <w:kern w:val="0"/>
          <w:sz w:val="24"/>
        </w:rPr>
        <w:t>（如果有的话）</w:t>
      </w:r>
    </w:p>
    <w:p w14:paraId="45729DFE">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w:t>
      </w:r>
    </w:p>
    <w:p w14:paraId="33401F0E">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说明：</w:t>
      </w:r>
    </w:p>
    <w:p w14:paraId="7780CC80">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1、采购人或采购代理机构可以根据项目的特点和需要，在谈判文件“供应商的资格”中特定资格条件，对其它资格证明文件进行具体规定，供应商应按照谈判文件要求，在此项下提供相关证明材料，并加盖供应商单位公章。</w:t>
      </w:r>
    </w:p>
    <w:p w14:paraId="2EB00871">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2、若谈判文件规定接受联合体形式且供应商为联合体的，涉及联合体成员的其它资格证明文件在此处提供相关证明材料，并加盖供应商单位公章。</w:t>
      </w:r>
    </w:p>
    <w:p w14:paraId="2C29C7D0">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 </w:t>
      </w:r>
    </w:p>
    <w:p w14:paraId="1D58D2A1">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 </w:t>
      </w:r>
    </w:p>
    <w:p w14:paraId="52315D02">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 </w:t>
      </w:r>
    </w:p>
    <w:p w14:paraId="6CF89DF5">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w:t>
      </w:r>
    </w:p>
    <w:p w14:paraId="2DF81B9A">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w:t>
      </w:r>
    </w:p>
    <w:p w14:paraId="28F27EC8">
      <w:pPr>
        <w:widowControl/>
        <w:spacing w:before="75" w:after="75" w:line="435" w:lineRule="atLeast"/>
        <w:rPr>
          <w:rFonts w:ascii="宋体" w:hAnsi="宋体" w:cs="宋体"/>
          <w:color w:val="auto"/>
          <w:kern w:val="0"/>
          <w:sz w:val="24"/>
        </w:rPr>
      </w:pPr>
      <w:r>
        <w:rPr>
          <w:rFonts w:ascii="宋体" w:hAnsi="宋体" w:cs="宋体"/>
          <w:color w:val="auto"/>
          <w:kern w:val="0"/>
          <w:sz w:val="24"/>
        </w:rPr>
        <w:t>供应商代表：             （签字） </w:t>
      </w:r>
    </w:p>
    <w:p w14:paraId="49ADDF54">
      <w:pPr>
        <w:widowControl/>
        <w:spacing w:before="75" w:after="75" w:line="435" w:lineRule="atLeast"/>
        <w:rPr>
          <w:rFonts w:ascii="宋体" w:hAnsi="宋体" w:cs="宋体"/>
          <w:color w:val="auto"/>
          <w:kern w:val="0"/>
          <w:sz w:val="24"/>
        </w:rPr>
      </w:pPr>
      <w:r>
        <w:rPr>
          <w:rFonts w:ascii="宋体" w:hAnsi="宋体" w:cs="宋体"/>
          <w:color w:val="auto"/>
          <w:kern w:val="0"/>
          <w:sz w:val="24"/>
        </w:rPr>
        <w:t>供应商名称：  （全称并加盖公章）              </w:t>
      </w:r>
    </w:p>
    <w:p w14:paraId="788B1694">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日  期：     年    月    日</w:t>
      </w:r>
    </w:p>
    <w:p w14:paraId="0208E6E4">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w:t>
      </w:r>
    </w:p>
    <w:p w14:paraId="26147973">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w:t>
      </w:r>
    </w:p>
    <w:p w14:paraId="367235EC">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w:t>
      </w:r>
    </w:p>
    <w:p w14:paraId="12C479BF">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w:t>
      </w:r>
    </w:p>
    <w:p w14:paraId="6CBF413C">
      <w:pPr>
        <w:widowControl/>
        <w:spacing w:before="75" w:after="75" w:line="435" w:lineRule="atLeast"/>
        <w:ind w:firstLine="480"/>
        <w:jc w:val="left"/>
        <w:rPr>
          <w:rFonts w:ascii="宋体" w:hAnsi="宋体" w:cs="宋体"/>
          <w:color w:val="auto"/>
          <w:kern w:val="0"/>
          <w:sz w:val="24"/>
        </w:rPr>
      </w:pPr>
      <w:r>
        <w:rPr>
          <w:rFonts w:ascii="宋体" w:hAnsi="宋体" w:cs="宋体"/>
          <w:b/>
          <w:bCs/>
          <w:color w:val="auto"/>
          <w:kern w:val="0"/>
          <w:sz w:val="24"/>
        </w:rPr>
        <w:t> </w:t>
      </w:r>
    </w:p>
    <w:p w14:paraId="129FA15A">
      <w:pPr>
        <w:widowControl/>
        <w:tabs>
          <w:tab w:val="left" w:pos="3448"/>
        </w:tabs>
        <w:spacing w:before="75" w:after="75"/>
        <w:jc w:val="left"/>
        <w:rPr>
          <w:rFonts w:ascii="宋体" w:hAnsi="宋体" w:cs="宋体"/>
          <w:color w:val="auto"/>
          <w:kern w:val="0"/>
          <w:sz w:val="24"/>
        </w:rPr>
      </w:pPr>
      <w:r>
        <w:rPr>
          <w:rFonts w:ascii="宋体" w:hAnsi="宋体" w:cs="宋体"/>
          <w:color w:val="auto"/>
          <w:kern w:val="0"/>
          <w:sz w:val="24"/>
        </w:rPr>
        <w:t> </w:t>
      </w:r>
      <w:r>
        <w:rPr>
          <w:rFonts w:hint="eastAsia" w:ascii="宋体" w:hAnsi="宋体" w:cs="宋体"/>
          <w:color w:val="auto"/>
          <w:kern w:val="0"/>
          <w:sz w:val="24"/>
        </w:rPr>
        <w:tab/>
      </w:r>
    </w:p>
    <w:p w14:paraId="57F64834">
      <w:pPr>
        <w:widowControl/>
        <w:tabs>
          <w:tab w:val="left" w:pos="3448"/>
        </w:tabs>
        <w:spacing w:before="75" w:after="75"/>
        <w:jc w:val="left"/>
        <w:rPr>
          <w:rFonts w:ascii="宋体" w:hAnsi="宋体" w:cs="宋体"/>
          <w:color w:val="auto"/>
          <w:kern w:val="0"/>
          <w:sz w:val="24"/>
        </w:rPr>
      </w:pPr>
    </w:p>
    <w:p w14:paraId="42C3618E">
      <w:pPr>
        <w:widowControl/>
        <w:tabs>
          <w:tab w:val="left" w:pos="3448"/>
        </w:tabs>
        <w:spacing w:before="75" w:after="75"/>
        <w:jc w:val="left"/>
        <w:rPr>
          <w:rFonts w:ascii="宋体" w:hAnsi="宋体" w:cs="宋体"/>
          <w:color w:val="auto"/>
          <w:kern w:val="0"/>
          <w:sz w:val="24"/>
        </w:rPr>
      </w:pPr>
    </w:p>
    <w:p w14:paraId="0C2A9341">
      <w:pPr>
        <w:widowControl/>
        <w:tabs>
          <w:tab w:val="left" w:pos="3448"/>
        </w:tabs>
        <w:spacing w:before="75" w:after="75"/>
        <w:jc w:val="left"/>
        <w:rPr>
          <w:rFonts w:ascii="宋体" w:hAnsi="宋体" w:cs="宋体"/>
          <w:color w:val="auto"/>
          <w:kern w:val="0"/>
          <w:sz w:val="24"/>
        </w:rPr>
      </w:pPr>
    </w:p>
    <w:p w14:paraId="36C16494">
      <w:pPr>
        <w:widowControl/>
        <w:tabs>
          <w:tab w:val="left" w:pos="3448"/>
        </w:tabs>
        <w:spacing w:before="75" w:after="75"/>
        <w:jc w:val="left"/>
        <w:rPr>
          <w:rFonts w:ascii="宋体" w:hAnsi="宋体" w:cs="宋体"/>
          <w:color w:val="auto"/>
          <w:kern w:val="0"/>
          <w:sz w:val="24"/>
        </w:rPr>
      </w:pPr>
    </w:p>
    <w:p w14:paraId="2EE34676">
      <w:pPr>
        <w:widowControl/>
        <w:tabs>
          <w:tab w:val="left" w:pos="3448"/>
        </w:tabs>
        <w:spacing w:before="75" w:after="75"/>
        <w:jc w:val="left"/>
        <w:rPr>
          <w:rFonts w:ascii="宋体" w:hAnsi="宋体" w:cs="宋体"/>
          <w:color w:val="auto"/>
          <w:kern w:val="0"/>
          <w:sz w:val="24"/>
        </w:rPr>
      </w:pPr>
    </w:p>
    <w:p w14:paraId="61D15810">
      <w:pPr>
        <w:widowControl/>
        <w:spacing w:before="75" w:after="75"/>
        <w:jc w:val="left"/>
        <w:rPr>
          <w:rFonts w:ascii="宋体" w:hAnsi="宋体" w:cs="宋体"/>
          <w:color w:val="auto"/>
          <w:kern w:val="0"/>
          <w:sz w:val="24"/>
        </w:rPr>
      </w:pPr>
      <w:r>
        <w:rPr>
          <w:rFonts w:ascii="宋体" w:hAnsi="宋体" w:cs="宋体"/>
          <w:color w:val="auto"/>
          <w:kern w:val="0"/>
          <w:sz w:val="24"/>
        </w:rPr>
        <w:br w:type="textWrapping"/>
      </w:r>
    </w:p>
    <w:p w14:paraId="6B581565">
      <w:pPr>
        <w:widowControl/>
        <w:jc w:val="left"/>
        <w:rPr>
          <w:rFonts w:ascii="宋体" w:hAnsi="宋体" w:cs="宋体"/>
          <w:color w:val="auto"/>
          <w:kern w:val="0"/>
          <w:sz w:val="24"/>
        </w:rPr>
      </w:pPr>
      <w:r>
        <w:rPr>
          <w:rFonts w:ascii="宋体" w:hAnsi="宋体" w:cs="宋体"/>
          <w:color w:val="auto"/>
          <w:kern w:val="0"/>
          <w:sz w:val="24"/>
        </w:rPr>
        <w:br w:type="page"/>
      </w:r>
    </w:p>
    <w:p w14:paraId="6CBF82A4">
      <w:pPr>
        <w:widowControl/>
        <w:spacing w:before="75" w:after="75"/>
        <w:jc w:val="left"/>
        <w:rPr>
          <w:rFonts w:ascii="宋体" w:hAnsi="宋体" w:cs="宋体"/>
          <w:color w:val="auto"/>
          <w:kern w:val="0"/>
          <w:sz w:val="24"/>
        </w:rPr>
      </w:pPr>
      <w:r>
        <w:rPr>
          <w:rFonts w:ascii="宋体" w:hAnsi="宋体" w:cs="宋体"/>
          <w:color w:val="auto"/>
          <w:kern w:val="0"/>
          <w:sz w:val="24"/>
        </w:rPr>
        <w:t>附件4        </w:t>
      </w:r>
      <w:r>
        <w:rPr>
          <w:rFonts w:ascii="宋体" w:hAnsi="宋体" w:cs="宋体"/>
          <w:b/>
          <w:bCs/>
          <w:color w:val="auto"/>
          <w:kern w:val="0"/>
          <w:sz w:val="24"/>
        </w:rPr>
        <w:t>谈判保证金凭证</w:t>
      </w:r>
    </w:p>
    <w:p w14:paraId="308C1328">
      <w:pPr>
        <w:widowControl/>
        <w:spacing w:before="75" w:after="75"/>
        <w:jc w:val="left"/>
        <w:rPr>
          <w:rFonts w:ascii="宋体" w:hAnsi="宋体" w:cs="宋体"/>
          <w:color w:val="auto"/>
          <w:kern w:val="0"/>
          <w:sz w:val="24"/>
        </w:rPr>
      </w:pPr>
      <w:r>
        <w:rPr>
          <w:rFonts w:ascii="宋体" w:hAnsi="宋体" w:cs="宋体"/>
          <w:color w:val="auto"/>
          <w:kern w:val="0"/>
          <w:sz w:val="24"/>
        </w:rPr>
        <w:t> </w:t>
      </w:r>
    </w:p>
    <w:p w14:paraId="77A93C4E">
      <w:pPr>
        <w:widowControl/>
        <w:spacing w:before="75" w:after="75"/>
        <w:ind w:firstLine="3360"/>
        <w:rPr>
          <w:rFonts w:ascii="宋体" w:hAnsi="宋体" w:cs="宋体"/>
          <w:color w:val="auto"/>
          <w:kern w:val="0"/>
          <w:sz w:val="24"/>
        </w:rPr>
      </w:pPr>
      <w:r>
        <w:rPr>
          <w:rFonts w:ascii="宋体" w:hAnsi="宋体" w:cs="宋体"/>
          <w:color w:val="auto"/>
          <w:kern w:val="0"/>
          <w:szCs w:val="21"/>
        </w:rPr>
        <w:t>编制说明</w:t>
      </w:r>
    </w:p>
    <w:p w14:paraId="19F467D4">
      <w:pPr>
        <w:widowControl/>
        <w:spacing w:before="75" w:after="75"/>
        <w:jc w:val="left"/>
        <w:rPr>
          <w:rFonts w:ascii="宋体" w:hAnsi="宋体" w:cs="宋体"/>
          <w:color w:val="auto"/>
          <w:kern w:val="0"/>
          <w:sz w:val="24"/>
        </w:rPr>
      </w:pPr>
      <w:r>
        <w:rPr>
          <w:rFonts w:ascii="宋体" w:hAnsi="宋体" w:cs="宋体"/>
          <w:color w:val="auto"/>
          <w:kern w:val="0"/>
          <w:szCs w:val="21"/>
        </w:rPr>
        <w:t> </w:t>
      </w:r>
    </w:p>
    <w:p w14:paraId="09AFF3DD">
      <w:pPr>
        <w:widowControl/>
        <w:spacing w:before="75" w:after="75"/>
        <w:jc w:val="left"/>
        <w:rPr>
          <w:rFonts w:ascii="宋体" w:hAnsi="宋体" w:cs="宋体"/>
          <w:color w:val="auto"/>
          <w:kern w:val="0"/>
          <w:sz w:val="24"/>
        </w:rPr>
      </w:pPr>
      <w:r>
        <w:rPr>
          <w:rFonts w:ascii="宋体" w:hAnsi="宋体" w:cs="宋体"/>
          <w:color w:val="auto"/>
          <w:kern w:val="0"/>
          <w:szCs w:val="21"/>
        </w:rPr>
        <w:t>1、在此项下提交的</w:t>
      </w:r>
      <w:r>
        <w:rPr>
          <w:rFonts w:ascii="宋体" w:hAnsi="宋体" w:cs="宋体"/>
          <w:b/>
          <w:bCs/>
          <w:color w:val="auto"/>
          <w:kern w:val="0"/>
        </w:rPr>
        <w:t>“谈判保证金”</w:t>
      </w:r>
      <w:r>
        <w:rPr>
          <w:rFonts w:ascii="宋体" w:hAnsi="宋体" w:cs="宋体"/>
          <w:color w:val="auto"/>
          <w:kern w:val="0"/>
          <w:szCs w:val="21"/>
        </w:rPr>
        <w:t>材料可使用转账凭证复印件。</w:t>
      </w:r>
    </w:p>
    <w:p w14:paraId="6FEF1E36">
      <w:pPr>
        <w:widowControl/>
        <w:spacing w:before="75" w:after="75"/>
        <w:jc w:val="left"/>
        <w:rPr>
          <w:rFonts w:ascii="宋体" w:hAnsi="宋体" w:cs="宋体"/>
          <w:color w:val="auto"/>
          <w:kern w:val="0"/>
          <w:sz w:val="24"/>
        </w:rPr>
      </w:pPr>
      <w:r>
        <w:rPr>
          <w:rFonts w:ascii="宋体" w:hAnsi="宋体" w:cs="宋体"/>
          <w:color w:val="auto"/>
          <w:kern w:val="0"/>
          <w:szCs w:val="21"/>
        </w:rPr>
        <w:t>2、谈判保证金是否已提交按照谈判文件规定执行。</w:t>
      </w:r>
    </w:p>
    <w:p w14:paraId="336C3272">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w:t>
      </w:r>
    </w:p>
    <w:p w14:paraId="57E40C61">
      <w:pPr>
        <w:widowControl/>
        <w:spacing w:before="75" w:after="75" w:line="435" w:lineRule="atLeast"/>
        <w:jc w:val="left"/>
        <w:rPr>
          <w:rFonts w:ascii="宋体" w:hAnsi="宋体" w:cs="宋体"/>
          <w:color w:val="auto"/>
          <w:kern w:val="0"/>
          <w:sz w:val="24"/>
        </w:rPr>
      </w:pPr>
    </w:p>
    <w:p w14:paraId="3CF1F921">
      <w:pPr>
        <w:widowControl/>
        <w:spacing w:before="75" w:after="75" w:line="435" w:lineRule="atLeast"/>
        <w:jc w:val="left"/>
        <w:rPr>
          <w:rFonts w:ascii="宋体" w:hAnsi="宋体" w:cs="宋体"/>
          <w:color w:val="auto"/>
          <w:kern w:val="0"/>
          <w:sz w:val="24"/>
        </w:rPr>
      </w:pPr>
    </w:p>
    <w:p w14:paraId="4E33B6B5">
      <w:pPr>
        <w:widowControl/>
        <w:spacing w:before="75" w:after="75" w:line="435" w:lineRule="atLeast"/>
        <w:jc w:val="left"/>
        <w:rPr>
          <w:rFonts w:ascii="宋体" w:hAnsi="宋体" w:cs="宋体"/>
          <w:color w:val="auto"/>
          <w:kern w:val="0"/>
          <w:sz w:val="24"/>
        </w:rPr>
      </w:pPr>
    </w:p>
    <w:p w14:paraId="6A6D8265">
      <w:pPr>
        <w:widowControl/>
        <w:spacing w:before="75" w:after="75" w:line="435" w:lineRule="atLeast"/>
        <w:jc w:val="left"/>
        <w:rPr>
          <w:rFonts w:ascii="宋体" w:hAnsi="宋体" w:cs="宋体"/>
          <w:color w:val="auto"/>
          <w:kern w:val="0"/>
          <w:sz w:val="24"/>
        </w:rPr>
      </w:pPr>
    </w:p>
    <w:p w14:paraId="2D3B69B9">
      <w:pPr>
        <w:widowControl/>
        <w:spacing w:before="75" w:after="75" w:line="435" w:lineRule="atLeast"/>
        <w:jc w:val="left"/>
        <w:rPr>
          <w:rFonts w:ascii="宋体" w:hAnsi="宋体" w:cs="宋体"/>
          <w:color w:val="auto"/>
          <w:kern w:val="0"/>
          <w:sz w:val="24"/>
        </w:rPr>
      </w:pPr>
    </w:p>
    <w:p w14:paraId="6E01FBAD">
      <w:pPr>
        <w:widowControl/>
        <w:spacing w:before="75" w:after="75" w:line="435" w:lineRule="atLeast"/>
        <w:jc w:val="left"/>
        <w:rPr>
          <w:rFonts w:ascii="宋体" w:hAnsi="宋体" w:cs="宋体"/>
          <w:color w:val="auto"/>
          <w:kern w:val="0"/>
          <w:sz w:val="24"/>
        </w:rPr>
      </w:pPr>
    </w:p>
    <w:p w14:paraId="68F716BC">
      <w:pPr>
        <w:widowControl/>
        <w:spacing w:before="75" w:after="75" w:line="435" w:lineRule="atLeast"/>
        <w:jc w:val="left"/>
        <w:rPr>
          <w:rFonts w:ascii="宋体" w:hAnsi="宋体" w:cs="宋体"/>
          <w:color w:val="auto"/>
          <w:kern w:val="0"/>
          <w:sz w:val="24"/>
        </w:rPr>
      </w:pPr>
    </w:p>
    <w:p w14:paraId="52811A62">
      <w:pPr>
        <w:widowControl/>
        <w:spacing w:before="75" w:after="75" w:line="435" w:lineRule="atLeast"/>
        <w:jc w:val="left"/>
        <w:rPr>
          <w:rFonts w:ascii="宋体" w:hAnsi="宋体" w:cs="宋体"/>
          <w:color w:val="auto"/>
          <w:kern w:val="0"/>
          <w:sz w:val="24"/>
        </w:rPr>
      </w:pPr>
    </w:p>
    <w:p w14:paraId="3D6A47D6">
      <w:pPr>
        <w:widowControl/>
        <w:spacing w:before="75" w:after="75" w:line="435" w:lineRule="atLeast"/>
        <w:jc w:val="left"/>
        <w:rPr>
          <w:rFonts w:ascii="宋体" w:hAnsi="宋体" w:cs="宋体"/>
          <w:color w:val="auto"/>
          <w:kern w:val="0"/>
          <w:sz w:val="24"/>
        </w:rPr>
      </w:pPr>
    </w:p>
    <w:p w14:paraId="44241490">
      <w:pPr>
        <w:widowControl/>
        <w:spacing w:before="75" w:after="75" w:line="435" w:lineRule="atLeast"/>
        <w:jc w:val="left"/>
        <w:rPr>
          <w:rFonts w:ascii="宋体" w:hAnsi="宋体" w:cs="宋体"/>
          <w:color w:val="auto"/>
          <w:kern w:val="0"/>
          <w:sz w:val="24"/>
        </w:rPr>
      </w:pPr>
    </w:p>
    <w:p w14:paraId="4C2E295F">
      <w:pPr>
        <w:widowControl/>
        <w:spacing w:before="75" w:after="75" w:line="435" w:lineRule="atLeast"/>
        <w:jc w:val="left"/>
        <w:rPr>
          <w:rFonts w:ascii="宋体" w:hAnsi="宋体" w:cs="宋体"/>
          <w:color w:val="auto"/>
          <w:kern w:val="0"/>
          <w:sz w:val="24"/>
        </w:rPr>
      </w:pPr>
    </w:p>
    <w:p w14:paraId="081D7FFA">
      <w:pPr>
        <w:widowControl/>
        <w:spacing w:before="75" w:after="75" w:line="435" w:lineRule="atLeast"/>
        <w:jc w:val="left"/>
        <w:rPr>
          <w:rFonts w:ascii="宋体" w:hAnsi="宋体" w:cs="宋体"/>
          <w:color w:val="auto"/>
          <w:kern w:val="0"/>
          <w:sz w:val="24"/>
        </w:rPr>
      </w:pPr>
    </w:p>
    <w:p w14:paraId="311C4CA5">
      <w:pPr>
        <w:widowControl/>
        <w:spacing w:before="75" w:after="75" w:line="435" w:lineRule="atLeast"/>
        <w:jc w:val="left"/>
        <w:rPr>
          <w:rFonts w:ascii="宋体" w:hAnsi="宋体" w:cs="宋体"/>
          <w:color w:val="auto"/>
          <w:kern w:val="0"/>
          <w:sz w:val="24"/>
        </w:rPr>
      </w:pPr>
    </w:p>
    <w:p w14:paraId="297B3C2B">
      <w:pPr>
        <w:widowControl/>
        <w:spacing w:before="75" w:after="75" w:line="435" w:lineRule="atLeast"/>
        <w:jc w:val="left"/>
        <w:rPr>
          <w:rFonts w:ascii="宋体" w:hAnsi="宋体" w:cs="宋体"/>
          <w:color w:val="auto"/>
          <w:kern w:val="0"/>
          <w:sz w:val="24"/>
        </w:rPr>
      </w:pPr>
    </w:p>
    <w:p w14:paraId="12EB3F73">
      <w:pPr>
        <w:widowControl/>
        <w:spacing w:before="75" w:after="75" w:line="435" w:lineRule="atLeast"/>
        <w:jc w:val="left"/>
        <w:rPr>
          <w:rFonts w:ascii="宋体" w:hAnsi="宋体" w:cs="宋体"/>
          <w:color w:val="auto"/>
          <w:kern w:val="0"/>
          <w:sz w:val="24"/>
        </w:rPr>
      </w:pPr>
    </w:p>
    <w:p w14:paraId="173CDE72">
      <w:pPr>
        <w:widowControl/>
        <w:spacing w:before="75" w:after="75" w:line="435" w:lineRule="atLeast"/>
        <w:jc w:val="left"/>
        <w:rPr>
          <w:rFonts w:ascii="宋体" w:hAnsi="宋体" w:cs="宋体"/>
          <w:color w:val="auto"/>
          <w:kern w:val="0"/>
          <w:sz w:val="24"/>
        </w:rPr>
      </w:pPr>
    </w:p>
    <w:p w14:paraId="166F1BCE">
      <w:pPr>
        <w:widowControl/>
        <w:spacing w:before="75" w:after="75" w:line="435" w:lineRule="atLeast"/>
        <w:jc w:val="left"/>
        <w:rPr>
          <w:rFonts w:ascii="宋体" w:hAnsi="宋体" w:cs="宋体"/>
          <w:color w:val="auto"/>
          <w:kern w:val="0"/>
          <w:sz w:val="24"/>
        </w:rPr>
      </w:pPr>
    </w:p>
    <w:p w14:paraId="349FD71E">
      <w:pPr>
        <w:widowControl/>
        <w:spacing w:before="75" w:after="75" w:line="435" w:lineRule="atLeast"/>
        <w:jc w:val="left"/>
        <w:rPr>
          <w:rFonts w:ascii="宋体" w:hAnsi="宋体" w:cs="宋体"/>
          <w:color w:val="auto"/>
          <w:kern w:val="0"/>
          <w:sz w:val="24"/>
        </w:rPr>
      </w:pPr>
    </w:p>
    <w:p w14:paraId="30A28184">
      <w:pPr>
        <w:widowControl/>
        <w:spacing w:before="75" w:after="75" w:line="435" w:lineRule="atLeast"/>
        <w:jc w:val="left"/>
        <w:rPr>
          <w:rFonts w:ascii="宋体" w:hAnsi="宋体" w:cs="宋体"/>
          <w:color w:val="auto"/>
          <w:kern w:val="0"/>
          <w:sz w:val="24"/>
        </w:rPr>
      </w:pPr>
    </w:p>
    <w:p w14:paraId="0A8A2EC7">
      <w:pPr>
        <w:widowControl/>
        <w:spacing w:before="75" w:after="75" w:line="435" w:lineRule="atLeast"/>
        <w:jc w:val="left"/>
        <w:rPr>
          <w:rFonts w:ascii="宋体" w:hAnsi="宋体" w:cs="宋体"/>
          <w:color w:val="auto"/>
          <w:kern w:val="0"/>
          <w:sz w:val="24"/>
        </w:rPr>
      </w:pPr>
    </w:p>
    <w:p w14:paraId="73B1B2AA">
      <w:pPr>
        <w:widowControl/>
        <w:spacing w:before="75" w:after="75" w:line="435" w:lineRule="atLeast"/>
        <w:jc w:val="left"/>
        <w:rPr>
          <w:rFonts w:ascii="宋体" w:hAnsi="宋体" w:cs="宋体"/>
          <w:color w:val="auto"/>
          <w:kern w:val="0"/>
          <w:sz w:val="24"/>
        </w:rPr>
      </w:pPr>
    </w:p>
    <w:p w14:paraId="1A717740">
      <w:pPr>
        <w:widowControl/>
        <w:spacing w:before="75" w:after="75" w:line="435" w:lineRule="atLeast"/>
        <w:jc w:val="left"/>
        <w:rPr>
          <w:rFonts w:ascii="宋体" w:hAnsi="宋体" w:cs="宋体"/>
          <w:color w:val="auto"/>
          <w:kern w:val="0"/>
          <w:sz w:val="24"/>
        </w:rPr>
      </w:pPr>
    </w:p>
    <w:p w14:paraId="27E6E5D0">
      <w:pPr>
        <w:widowControl/>
        <w:spacing w:before="75" w:after="75"/>
        <w:jc w:val="left"/>
        <w:rPr>
          <w:rFonts w:ascii="宋体" w:hAnsi="宋体" w:cs="宋体"/>
          <w:color w:val="auto"/>
          <w:kern w:val="0"/>
          <w:sz w:val="24"/>
        </w:rPr>
      </w:pPr>
      <w:r>
        <w:rPr>
          <w:rFonts w:ascii="宋体" w:hAnsi="宋体" w:cs="宋体"/>
          <w:color w:val="auto"/>
          <w:kern w:val="0"/>
          <w:sz w:val="24"/>
        </w:rPr>
        <w:br w:type="textWrapping"/>
      </w:r>
      <w:r>
        <w:rPr>
          <w:rFonts w:ascii="宋体" w:hAnsi="宋体" w:cs="宋体"/>
          <w:color w:val="auto"/>
          <w:kern w:val="0"/>
          <w:sz w:val="24"/>
        </w:rPr>
        <w:t>附件5-1  </w:t>
      </w:r>
      <w:r>
        <w:rPr>
          <w:rFonts w:ascii="宋体" w:hAnsi="宋体" w:cs="宋体"/>
          <w:b/>
          <w:bCs/>
          <w:color w:val="auto"/>
          <w:kern w:val="0"/>
          <w:sz w:val="24"/>
        </w:rPr>
        <w:t>  技术和服务要求响应表</w:t>
      </w:r>
      <w:r>
        <w:rPr>
          <w:rFonts w:ascii="宋体" w:hAnsi="宋体" w:cs="宋体"/>
          <w:color w:val="auto"/>
          <w:kern w:val="0"/>
          <w:sz w:val="24"/>
        </w:rPr>
        <w:t> </w:t>
      </w:r>
    </w:p>
    <w:p w14:paraId="55C98964">
      <w:pPr>
        <w:widowControl/>
        <w:spacing w:before="75" w:after="75" w:line="375" w:lineRule="atLeast"/>
        <w:jc w:val="left"/>
        <w:rPr>
          <w:rFonts w:ascii="宋体" w:hAnsi="宋体" w:cs="宋体"/>
          <w:color w:val="auto"/>
          <w:kern w:val="0"/>
          <w:sz w:val="24"/>
        </w:rPr>
      </w:pPr>
      <w:r>
        <w:rPr>
          <w:rFonts w:ascii="宋体" w:hAnsi="宋体" w:cs="宋体"/>
          <w:color w:val="auto"/>
          <w:kern w:val="0"/>
          <w:sz w:val="24"/>
        </w:rPr>
        <w:t>供应商名称： （全称加盖单位公章）  </w:t>
      </w:r>
    </w:p>
    <w:p w14:paraId="38BC7B73">
      <w:pPr>
        <w:widowControl/>
        <w:spacing w:before="75" w:after="75" w:line="375" w:lineRule="atLeast"/>
        <w:jc w:val="left"/>
        <w:rPr>
          <w:rFonts w:ascii="宋体" w:hAnsi="宋体" w:cs="宋体"/>
          <w:color w:val="auto"/>
          <w:kern w:val="0"/>
          <w:sz w:val="24"/>
        </w:rPr>
      </w:pPr>
      <w:r>
        <w:rPr>
          <w:rFonts w:ascii="宋体" w:hAnsi="宋体" w:cs="宋体"/>
          <w:color w:val="auto"/>
          <w:kern w:val="0"/>
          <w:sz w:val="24"/>
        </w:rPr>
        <w:t>项目编号</w:t>
      </w:r>
      <w:r>
        <w:rPr>
          <w:rFonts w:hint="eastAsia" w:ascii="宋体" w:hAnsi="宋体" w:cs="宋体"/>
          <w:color w:val="auto"/>
          <w:kern w:val="0"/>
          <w:sz w:val="24"/>
        </w:rPr>
        <w:t>∶</w:t>
      </w:r>
      <w:r>
        <w:rPr>
          <w:color w:val="auto"/>
          <w:kern w:val="0"/>
          <w:sz w:val="24"/>
        </w:rPr>
        <w:t>       </w:t>
      </w:r>
    </w:p>
    <w:tbl>
      <w:tblPr>
        <w:tblStyle w:val="14"/>
        <w:tblW w:w="8801" w:type="dxa"/>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828"/>
        <w:gridCol w:w="1605"/>
        <w:gridCol w:w="2663"/>
        <w:gridCol w:w="2316"/>
        <w:gridCol w:w="1389"/>
      </w:tblGrid>
      <w:tr w14:paraId="3E39BC2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945" w:hRule="atLeast"/>
          <w:tblCellSpacing w:w="15" w:type="dxa"/>
        </w:trPr>
        <w:tc>
          <w:tcPr>
            <w:tcW w:w="783" w:type="dxa"/>
            <w:tcBorders>
              <w:top w:val="outset" w:color="000000" w:sz="6" w:space="0"/>
              <w:left w:val="outset" w:color="000000" w:sz="6" w:space="0"/>
              <w:bottom w:val="outset" w:color="000000" w:sz="6" w:space="0"/>
              <w:right w:val="outset" w:color="000000" w:sz="6" w:space="0"/>
            </w:tcBorders>
            <w:tcMar>
              <w:top w:w="0" w:type="dxa"/>
              <w:left w:w="105" w:type="dxa"/>
              <w:bottom w:w="0" w:type="dxa"/>
              <w:right w:w="105" w:type="dxa"/>
            </w:tcMar>
            <w:vAlign w:val="center"/>
          </w:tcPr>
          <w:p w14:paraId="2E0DDB58">
            <w:pPr>
              <w:widowControl/>
              <w:spacing w:line="375" w:lineRule="atLeast"/>
              <w:jc w:val="left"/>
              <w:rPr>
                <w:rFonts w:ascii="宋体" w:hAnsi="宋体" w:cs="宋体"/>
                <w:color w:val="auto"/>
                <w:kern w:val="0"/>
                <w:sz w:val="24"/>
              </w:rPr>
            </w:pPr>
            <w:r>
              <w:rPr>
                <w:rFonts w:ascii="宋体" w:hAnsi="宋体" w:cs="宋体"/>
                <w:color w:val="auto"/>
                <w:kern w:val="0"/>
                <w:sz w:val="24"/>
              </w:rPr>
              <w:t>合同包</w:t>
            </w:r>
          </w:p>
        </w:tc>
        <w:tc>
          <w:tcPr>
            <w:tcW w:w="1575" w:type="dxa"/>
            <w:tcBorders>
              <w:top w:val="outset" w:color="000000" w:sz="6"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60DA8B89">
            <w:pPr>
              <w:widowControl/>
              <w:spacing w:line="375" w:lineRule="atLeast"/>
              <w:jc w:val="left"/>
              <w:rPr>
                <w:rFonts w:ascii="宋体" w:hAnsi="宋体" w:cs="宋体"/>
                <w:color w:val="auto"/>
                <w:kern w:val="0"/>
                <w:sz w:val="24"/>
              </w:rPr>
            </w:pPr>
            <w:r>
              <w:rPr>
                <w:rFonts w:ascii="宋体" w:hAnsi="宋体" w:cs="宋体"/>
                <w:color w:val="auto"/>
                <w:kern w:val="0"/>
                <w:sz w:val="24"/>
              </w:rPr>
              <w:t>章节条目号</w:t>
            </w:r>
          </w:p>
        </w:tc>
        <w:tc>
          <w:tcPr>
            <w:tcW w:w="2633" w:type="dxa"/>
            <w:tcBorders>
              <w:top w:val="outset" w:color="000000" w:sz="6"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46856781">
            <w:pPr>
              <w:widowControl/>
              <w:spacing w:line="375" w:lineRule="atLeast"/>
              <w:jc w:val="left"/>
              <w:rPr>
                <w:rFonts w:ascii="宋体" w:hAnsi="宋体" w:cs="宋体"/>
                <w:color w:val="auto"/>
                <w:kern w:val="0"/>
                <w:sz w:val="24"/>
              </w:rPr>
            </w:pPr>
            <w:r>
              <w:rPr>
                <w:rFonts w:ascii="宋体" w:hAnsi="宋体" w:cs="宋体"/>
                <w:color w:val="auto"/>
                <w:kern w:val="0"/>
                <w:sz w:val="24"/>
              </w:rPr>
              <w:t>竞争性谈判文件规定的技术和服务要求</w:t>
            </w:r>
          </w:p>
        </w:tc>
        <w:tc>
          <w:tcPr>
            <w:tcW w:w="2286" w:type="dxa"/>
            <w:tcBorders>
              <w:top w:val="outset" w:color="000000" w:sz="6"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7F8DFC0F">
            <w:pPr>
              <w:widowControl/>
              <w:spacing w:line="375" w:lineRule="atLeast"/>
              <w:jc w:val="left"/>
              <w:rPr>
                <w:rFonts w:ascii="宋体" w:hAnsi="宋体" w:cs="宋体"/>
                <w:color w:val="auto"/>
                <w:kern w:val="0"/>
                <w:sz w:val="24"/>
              </w:rPr>
            </w:pPr>
            <w:r>
              <w:rPr>
                <w:rFonts w:ascii="宋体" w:hAnsi="宋体" w:cs="宋体"/>
                <w:color w:val="auto"/>
                <w:kern w:val="0"/>
                <w:sz w:val="24"/>
              </w:rPr>
              <w:t>响应文件响应承诺</w:t>
            </w:r>
          </w:p>
        </w:tc>
        <w:tc>
          <w:tcPr>
            <w:tcW w:w="1344" w:type="dxa"/>
            <w:tcBorders>
              <w:top w:val="outset" w:color="000000" w:sz="6"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6CF9CD29">
            <w:pPr>
              <w:widowControl/>
              <w:spacing w:line="375" w:lineRule="atLeast"/>
              <w:jc w:val="left"/>
              <w:rPr>
                <w:rFonts w:ascii="宋体" w:hAnsi="宋体" w:cs="宋体"/>
                <w:color w:val="auto"/>
                <w:kern w:val="0"/>
                <w:sz w:val="24"/>
              </w:rPr>
            </w:pPr>
            <w:r>
              <w:rPr>
                <w:rFonts w:ascii="宋体" w:hAnsi="宋体" w:cs="宋体"/>
                <w:color w:val="auto"/>
                <w:kern w:val="0"/>
                <w:sz w:val="24"/>
              </w:rPr>
              <w:t>是否偏离及说明</w:t>
            </w:r>
          </w:p>
        </w:tc>
      </w:tr>
      <w:tr w14:paraId="1208909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40" w:hRule="atLeast"/>
          <w:tblCellSpacing w:w="15" w:type="dxa"/>
        </w:trPr>
        <w:tc>
          <w:tcPr>
            <w:tcW w:w="783" w:type="dxa"/>
            <w:tcBorders>
              <w:top w:val="single" w:color="auto" w:sz="0" w:space="0"/>
              <w:left w:val="outset" w:color="000000" w:sz="6" w:space="0"/>
              <w:bottom w:val="outset" w:color="000000" w:sz="6" w:space="0"/>
              <w:right w:val="outset" w:color="000000" w:sz="6" w:space="0"/>
            </w:tcBorders>
            <w:tcMar>
              <w:top w:w="0" w:type="dxa"/>
              <w:left w:w="105" w:type="dxa"/>
              <w:bottom w:w="0" w:type="dxa"/>
              <w:right w:w="105" w:type="dxa"/>
            </w:tcMar>
            <w:vAlign w:val="center"/>
          </w:tcPr>
          <w:p w14:paraId="3CB40D95">
            <w:pPr>
              <w:widowControl/>
              <w:jc w:val="left"/>
              <w:rPr>
                <w:rFonts w:ascii="宋体" w:hAnsi="宋体" w:cs="宋体"/>
                <w:color w:val="auto"/>
                <w:kern w:val="0"/>
                <w:sz w:val="24"/>
              </w:rPr>
            </w:pPr>
          </w:p>
        </w:tc>
        <w:tc>
          <w:tcPr>
            <w:tcW w:w="1575"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63D1401B">
            <w:pPr>
              <w:widowControl/>
              <w:jc w:val="left"/>
              <w:rPr>
                <w:rFonts w:ascii="宋体" w:hAnsi="宋体" w:cs="宋体"/>
                <w:color w:val="auto"/>
                <w:kern w:val="0"/>
                <w:sz w:val="24"/>
              </w:rPr>
            </w:pPr>
          </w:p>
        </w:tc>
        <w:tc>
          <w:tcPr>
            <w:tcW w:w="2633"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0E8AF8B0">
            <w:pPr>
              <w:widowControl/>
              <w:jc w:val="left"/>
              <w:rPr>
                <w:rFonts w:ascii="宋体" w:hAnsi="宋体" w:cs="宋体"/>
                <w:color w:val="auto"/>
                <w:kern w:val="0"/>
                <w:sz w:val="24"/>
              </w:rPr>
            </w:pPr>
          </w:p>
        </w:tc>
        <w:tc>
          <w:tcPr>
            <w:tcW w:w="2286"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5B05CD34">
            <w:pPr>
              <w:widowControl/>
              <w:jc w:val="left"/>
              <w:rPr>
                <w:rFonts w:ascii="宋体" w:hAnsi="宋体" w:cs="宋体"/>
                <w:color w:val="auto"/>
                <w:kern w:val="0"/>
                <w:sz w:val="24"/>
              </w:rPr>
            </w:pPr>
          </w:p>
        </w:tc>
        <w:tc>
          <w:tcPr>
            <w:tcW w:w="1344"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7970DE3D">
            <w:pPr>
              <w:widowControl/>
              <w:jc w:val="left"/>
              <w:rPr>
                <w:rFonts w:ascii="宋体" w:hAnsi="宋体" w:cs="宋体"/>
                <w:color w:val="auto"/>
                <w:kern w:val="0"/>
                <w:sz w:val="24"/>
              </w:rPr>
            </w:pPr>
          </w:p>
        </w:tc>
      </w:tr>
      <w:tr w14:paraId="33C09E9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40" w:hRule="atLeast"/>
          <w:tblCellSpacing w:w="15" w:type="dxa"/>
        </w:trPr>
        <w:tc>
          <w:tcPr>
            <w:tcW w:w="783" w:type="dxa"/>
            <w:tcBorders>
              <w:top w:val="single" w:color="auto" w:sz="0" w:space="0"/>
              <w:left w:val="outset" w:color="000000" w:sz="6" w:space="0"/>
              <w:bottom w:val="outset" w:color="000000" w:sz="6" w:space="0"/>
              <w:right w:val="outset" w:color="000000" w:sz="6" w:space="0"/>
            </w:tcBorders>
            <w:tcMar>
              <w:top w:w="0" w:type="dxa"/>
              <w:left w:w="105" w:type="dxa"/>
              <w:bottom w:w="0" w:type="dxa"/>
              <w:right w:w="105" w:type="dxa"/>
            </w:tcMar>
            <w:vAlign w:val="center"/>
          </w:tcPr>
          <w:p w14:paraId="6EE096D5">
            <w:pPr>
              <w:widowControl/>
              <w:jc w:val="left"/>
              <w:rPr>
                <w:rFonts w:ascii="宋体" w:hAnsi="宋体" w:cs="宋体"/>
                <w:color w:val="auto"/>
                <w:kern w:val="0"/>
                <w:sz w:val="24"/>
              </w:rPr>
            </w:pPr>
          </w:p>
        </w:tc>
        <w:tc>
          <w:tcPr>
            <w:tcW w:w="1575"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6475606F">
            <w:pPr>
              <w:widowControl/>
              <w:jc w:val="left"/>
              <w:rPr>
                <w:rFonts w:ascii="宋体" w:hAnsi="宋体" w:cs="宋体"/>
                <w:color w:val="auto"/>
                <w:kern w:val="0"/>
                <w:sz w:val="24"/>
              </w:rPr>
            </w:pPr>
          </w:p>
        </w:tc>
        <w:tc>
          <w:tcPr>
            <w:tcW w:w="2633"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4D34F3A4">
            <w:pPr>
              <w:widowControl/>
              <w:jc w:val="left"/>
              <w:rPr>
                <w:rFonts w:ascii="宋体" w:hAnsi="宋体" w:cs="宋体"/>
                <w:color w:val="auto"/>
                <w:kern w:val="0"/>
                <w:sz w:val="24"/>
              </w:rPr>
            </w:pPr>
          </w:p>
        </w:tc>
        <w:tc>
          <w:tcPr>
            <w:tcW w:w="2286"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055CD9F0">
            <w:pPr>
              <w:widowControl/>
              <w:jc w:val="left"/>
              <w:rPr>
                <w:rFonts w:ascii="宋体" w:hAnsi="宋体" w:cs="宋体"/>
                <w:color w:val="auto"/>
                <w:kern w:val="0"/>
                <w:sz w:val="24"/>
              </w:rPr>
            </w:pPr>
          </w:p>
        </w:tc>
        <w:tc>
          <w:tcPr>
            <w:tcW w:w="1344"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2FF3156D">
            <w:pPr>
              <w:widowControl/>
              <w:jc w:val="left"/>
              <w:rPr>
                <w:rFonts w:ascii="宋体" w:hAnsi="宋体" w:cs="宋体"/>
                <w:color w:val="auto"/>
                <w:kern w:val="0"/>
                <w:sz w:val="24"/>
              </w:rPr>
            </w:pPr>
          </w:p>
        </w:tc>
      </w:tr>
      <w:tr w14:paraId="11721CA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40" w:hRule="atLeast"/>
          <w:tblCellSpacing w:w="15" w:type="dxa"/>
        </w:trPr>
        <w:tc>
          <w:tcPr>
            <w:tcW w:w="783" w:type="dxa"/>
            <w:tcBorders>
              <w:top w:val="single" w:color="auto" w:sz="0" w:space="0"/>
              <w:left w:val="outset" w:color="000000" w:sz="6" w:space="0"/>
              <w:bottom w:val="outset" w:color="000000" w:sz="6" w:space="0"/>
              <w:right w:val="outset" w:color="000000" w:sz="6" w:space="0"/>
            </w:tcBorders>
            <w:tcMar>
              <w:top w:w="0" w:type="dxa"/>
              <w:left w:w="105" w:type="dxa"/>
              <w:bottom w:w="0" w:type="dxa"/>
              <w:right w:w="105" w:type="dxa"/>
            </w:tcMar>
            <w:vAlign w:val="center"/>
          </w:tcPr>
          <w:p w14:paraId="203C20E2">
            <w:pPr>
              <w:widowControl/>
              <w:jc w:val="left"/>
              <w:rPr>
                <w:rFonts w:ascii="宋体" w:hAnsi="宋体" w:cs="宋体"/>
                <w:color w:val="auto"/>
                <w:kern w:val="0"/>
                <w:sz w:val="24"/>
              </w:rPr>
            </w:pPr>
          </w:p>
        </w:tc>
        <w:tc>
          <w:tcPr>
            <w:tcW w:w="1575"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3BED9DAE">
            <w:pPr>
              <w:widowControl/>
              <w:jc w:val="left"/>
              <w:rPr>
                <w:rFonts w:ascii="宋体" w:hAnsi="宋体" w:cs="宋体"/>
                <w:color w:val="auto"/>
                <w:kern w:val="0"/>
                <w:sz w:val="24"/>
              </w:rPr>
            </w:pPr>
          </w:p>
        </w:tc>
        <w:tc>
          <w:tcPr>
            <w:tcW w:w="2633"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17D34A91">
            <w:pPr>
              <w:widowControl/>
              <w:jc w:val="left"/>
              <w:rPr>
                <w:rFonts w:ascii="宋体" w:hAnsi="宋体" w:cs="宋体"/>
                <w:color w:val="auto"/>
                <w:kern w:val="0"/>
                <w:sz w:val="24"/>
              </w:rPr>
            </w:pPr>
          </w:p>
        </w:tc>
        <w:tc>
          <w:tcPr>
            <w:tcW w:w="2286"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39677DBF">
            <w:pPr>
              <w:widowControl/>
              <w:jc w:val="left"/>
              <w:rPr>
                <w:rFonts w:ascii="宋体" w:hAnsi="宋体" w:cs="宋体"/>
                <w:color w:val="auto"/>
                <w:kern w:val="0"/>
                <w:sz w:val="24"/>
              </w:rPr>
            </w:pPr>
          </w:p>
        </w:tc>
        <w:tc>
          <w:tcPr>
            <w:tcW w:w="1344"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7BBB6982">
            <w:pPr>
              <w:widowControl/>
              <w:jc w:val="left"/>
              <w:rPr>
                <w:rFonts w:ascii="宋体" w:hAnsi="宋体" w:cs="宋体"/>
                <w:color w:val="auto"/>
                <w:kern w:val="0"/>
                <w:sz w:val="24"/>
              </w:rPr>
            </w:pPr>
          </w:p>
        </w:tc>
      </w:tr>
      <w:tr w14:paraId="0B1E8E0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40" w:hRule="atLeast"/>
          <w:tblCellSpacing w:w="15" w:type="dxa"/>
        </w:trPr>
        <w:tc>
          <w:tcPr>
            <w:tcW w:w="783" w:type="dxa"/>
            <w:tcBorders>
              <w:top w:val="single" w:color="auto" w:sz="0" w:space="0"/>
              <w:left w:val="outset" w:color="000000" w:sz="6" w:space="0"/>
              <w:bottom w:val="outset" w:color="000000" w:sz="6" w:space="0"/>
              <w:right w:val="outset" w:color="000000" w:sz="6" w:space="0"/>
            </w:tcBorders>
            <w:tcMar>
              <w:top w:w="0" w:type="dxa"/>
              <w:left w:w="105" w:type="dxa"/>
              <w:bottom w:w="0" w:type="dxa"/>
              <w:right w:w="105" w:type="dxa"/>
            </w:tcMar>
            <w:vAlign w:val="center"/>
          </w:tcPr>
          <w:p w14:paraId="042AF237">
            <w:pPr>
              <w:widowControl/>
              <w:jc w:val="left"/>
              <w:rPr>
                <w:rFonts w:ascii="宋体" w:hAnsi="宋体" w:cs="宋体"/>
                <w:color w:val="auto"/>
                <w:kern w:val="0"/>
                <w:sz w:val="24"/>
              </w:rPr>
            </w:pPr>
          </w:p>
        </w:tc>
        <w:tc>
          <w:tcPr>
            <w:tcW w:w="1575"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4A7CC307">
            <w:pPr>
              <w:widowControl/>
              <w:jc w:val="left"/>
              <w:rPr>
                <w:rFonts w:ascii="宋体" w:hAnsi="宋体" w:cs="宋体"/>
                <w:color w:val="auto"/>
                <w:kern w:val="0"/>
                <w:sz w:val="24"/>
              </w:rPr>
            </w:pPr>
          </w:p>
        </w:tc>
        <w:tc>
          <w:tcPr>
            <w:tcW w:w="2633"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7F05368D">
            <w:pPr>
              <w:widowControl/>
              <w:jc w:val="left"/>
              <w:rPr>
                <w:rFonts w:ascii="宋体" w:hAnsi="宋体" w:cs="宋体"/>
                <w:color w:val="auto"/>
                <w:kern w:val="0"/>
                <w:sz w:val="24"/>
              </w:rPr>
            </w:pPr>
          </w:p>
        </w:tc>
        <w:tc>
          <w:tcPr>
            <w:tcW w:w="2286"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28E22F0E">
            <w:pPr>
              <w:widowControl/>
              <w:jc w:val="left"/>
              <w:rPr>
                <w:rFonts w:ascii="宋体" w:hAnsi="宋体" w:cs="宋体"/>
                <w:color w:val="auto"/>
                <w:kern w:val="0"/>
                <w:sz w:val="24"/>
              </w:rPr>
            </w:pPr>
          </w:p>
        </w:tc>
        <w:tc>
          <w:tcPr>
            <w:tcW w:w="1344"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68412C87">
            <w:pPr>
              <w:widowControl/>
              <w:jc w:val="left"/>
              <w:rPr>
                <w:rFonts w:ascii="宋体" w:hAnsi="宋体" w:cs="宋体"/>
                <w:color w:val="auto"/>
                <w:kern w:val="0"/>
                <w:sz w:val="24"/>
              </w:rPr>
            </w:pPr>
          </w:p>
        </w:tc>
      </w:tr>
      <w:tr w14:paraId="1BFE697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40" w:hRule="atLeast"/>
          <w:tblCellSpacing w:w="15" w:type="dxa"/>
        </w:trPr>
        <w:tc>
          <w:tcPr>
            <w:tcW w:w="783" w:type="dxa"/>
            <w:tcBorders>
              <w:top w:val="single" w:color="auto" w:sz="0" w:space="0"/>
              <w:left w:val="outset" w:color="000000" w:sz="6" w:space="0"/>
              <w:bottom w:val="outset" w:color="000000" w:sz="6" w:space="0"/>
              <w:right w:val="outset" w:color="000000" w:sz="6" w:space="0"/>
            </w:tcBorders>
            <w:tcMar>
              <w:top w:w="0" w:type="dxa"/>
              <w:left w:w="105" w:type="dxa"/>
              <w:bottom w:w="0" w:type="dxa"/>
              <w:right w:w="105" w:type="dxa"/>
            </w:tcMar>
            <w:vAlign w:val="center"/>
          </w:tcPr>
          <w:p w14:paraId="6D867726">
            <w:pPr>
              <w:widowControl/>
              <w:jc w:val="left"/>
              <w:rPr>
                <w:rFonts w:ascii="宋体" w:hAnsi="宋体" w:cs="宋体"/>
                <w:color w:val="auto"/>
                <w:kern w:val="0"/>
                <w:sz w:val="24"/>
              </w:rPr>
            </w:pPr>
          </w:p>
        </w:tc>
        <w:tc>
          <w:tcPr>
            <w:tcW w:w="1575"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7FB27445">
            <w:pPr>
              <w:widowControl/>
              <w:jc w:val="left"/>
              <w:rPr>
                <w:rFonts w:ascii="宋体" w:hAnsi="宋体" w:cs="宋体"/>
                <w:color w:val="auto"/>
                <w:kern w:val="0"/>
                <w:sz w:val="24"/>
              </w:rPr>
            </w:pPr>
          </w:p>
        </w:tc>
        <w:tc>
          <w:tcPr>
            <w:tcW w:w="2633"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3E0339D5">
            <w:pPr>
              <w:widowControl/>
              <w:jc w:val="left"/>
              <w:rPr>
                <w:rFonts w:ascii="宋体" w:hAnsi="宋体" w:cs="宋体"/>
                <w:color w:val="auto"/>
                <w:kern w:val="0"/>
                <w:sz w:val="24"/>
              </w:rPr>
            </w:pPr>
          </w:p>
        </w:tc>
        <w:tc>
          <w:tcPr>
            <w:tcW w:w="2286"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48AB69EE">
            <w:pPr>
              <w:widowControl/>
              <w:jc w:val="left"/>
              <w:rPr>
                <w:rFonts w:ascii="宋体" w:hAnsi="宋体" w:cs="宋体"/>
                <w:color w:val="auto"/>
                <w:kern w:val="0"/>
                <w:sz w:val="24"/>
              </w:rPr>
            </w:pPr>
          </w:p>
        </w:tc>
        <w:tc>
          <w:tcPr>
            <w:tcW w:w="1344"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04AB286D">
            <w:pPr>
              <w:widowControl/>
              <w:jc w:val="left"/>
              <w:rPr>
                <w:rFonts w:ascii="宋体" w:hAnsi="宋体" w:cs="宋体"/>
                <w:color w:val="auto"/>
                <w:kern w:val="0"/>
                <w:sz w:val="24"/>
              </w:rPr>
            </w:pPr>
          </w:p>
        </w:tc>
      </w:tr>
      <w:tr w14:paraId="5E2DF6B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40" w:hRule="atLeast"/>
          <w:tblCellSpacing w:w="15" w:type="dxa"/>
        </w:trPr>
        <w:tc>
          <w:tcPr>
            <w:tcW w:w="783" w:type="dxa"/>
            <w:tcBorders>
              <w:top w:val="single" w:color="auto" w:sz="0" w:space="0"/>
              <w:left w:val="outset" w:color="000000" w:sz="6" w:space="0"/>
              <w:bottom w:val="outset" w:color="000000" w:sz="6" w:space="0"/>
              <w:right w:val="outset" w:color="000000" w:sz="6" w:space="0"/>
            </w:tcBorders>
            <w:tcMar>
              <w:top w:w="0" w:type="dxa"/>
              <w:left w:w="105" w:type="dxa"/>
              <w:bottom w:w="0" w:type="dxa"/>
              <w:right w:w="105" w:type="dxa"/>
            </w:tcMar>
            <w:vAlign w:val="center"/>
          </w:tcPr>
          <w:p w14:paraId="15DCF2BD">
            <w:pPr>
              <w:widowControl/>
              <w:jc w:val="left"/>
              <w:rPr>
                <w:rFonts w:ascii="宋体" w:hAnsi="宋体" w:cs="宋体"/>
                <w:color w:val="auto"/>
                <w:kern w:val="0"/>
                <w:sz w:val="24"/>
              </w:rPr>
            </w:pPr>
          </w:p>
        </w:tc>
        <w:tc>
          <w:tcPr>
            <w:tcW w:w="1575"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5EC65BE6">
            <w:pPr>
              <w:widowControl/>
              <w:jc w:val="left"/>
              <w:rPr>
                <w:rFonts w:ascii="宋体" w:hAnsi="宋体" w:cs="宋体"/>
                <w:color w:val="auto"/>
                <w:kern w:val="0"/>
                <w:sz w:val="24"/>
              </w:rPr>
            </w:pPr>
          </w:p>
        </w:tc>
        <w:tc>
          <w:tcPr>
            <w:tcW w:w="2633"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5F883BC0">
            <w:pPr>
              <w:widowControl/>
              <w:jc w:val="left"/>
              <w:rPr>
                <w:rFonts w:ascii="宋体" w:hAnsi="宋体" w:cs="宋体"/>
                <w:color w:val="auto"/>
                <w:kern w:val="0"/>
                <w:sz w:val="24"/>
              </w:rPr>
            </w:pPr>
          </w:p>
        </w:tc>
        <w:tc>
          <w:tcPr>
            <w:tcW w:w="2286"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01B5C0AC">
            <w:pPr>
              <w:widowControl/>
              <w:jc w:val="left"/>
              <w:rPr>
                <w:rFonts w:ascii="宋体" w:hAnsi="宋体" w:cs="宋体"/>
                <w:color w:val="auto"/>
                <w:kern w:val="0"/>
                <w:sz w:val="24"/>
              </w:rPr>
            </w:pPr>
          </w:p>
        </w:tc>
        <w:tc>
          <w:tcPr>
            <w:tcW w:w="1344"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2008B983">
            <w:pPr>
              <w:widowControl/>
              <w:jc w:val="left"/>
              <w:rPr>
                <w:rFonts w:ascii="宋体" w:hAnsi="宋体" w:cs="宋体"/>
                <w:color w:val="auto"/>
                <w:kern w:val="0"/>
                <w:sz w:val="24"/>
              </w:rPr>
            </w:pPr>
          </w:p>
        </w:tc>
      </w:tr>
      <w:tr w14:paraId="2B613BF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40" w:hRule="atLeast"/>
          <w:tblCellSpacing w:w="15" w:type="dxa"/>
        </w:trPr>
        <w:tc>
          <w:tcPr>
            <w:tcW w:w="783" w:type="dxa"/>
            <w:tcBorders>
              <w:top w:val="single" w:color="auto" w:sz="0" w:space="0"/>
              <w:left w:val="outset" w:color="000000" w:sz="6" w:space="0"/>
              <w:bottom w:val="outset" w:color="000000" w:sz="6" w:space="0"/>
              <w:right w:val="outset" w:color="000000" w:sz="6" w:space="0"/>
            </w:tcBorders>
            <w:tcMar>
              <w:top w:w="0" w:type="dxa"/>
              <w:left w:w="105" w:type="dxa"/>
              <w:bottom w:w="0" w:type="dxa"/>
              <w:right w:w="105" w:type="dxa"/>
            </w:tcMar>
            <w:vAlign w:val="center"/>
          </w:tcPr>
          <w:p w14:paraId="3964D255">
            <w:pPr>
              <w:widowControl/>
              <w:jc w:val="left"/>
              <w:rPr>
                <w:rFonts w:ascii="宋体" w:hAnsi="宋体" w:cs="宋体"/>
                <w:color w:val="auto"/>
                <w:kern w:val="0"/>
                <w:sz w:val="24"/>
              </w:rPr>
            </w:pPr>
          </w:p>
        </w:tc>
        <w:tc>
          <w:tcPr>
            <w:tcW w:w="1575"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5C0E073E">
            <w:pPr>
              <w:widowControl/>
              <w:jc w:val="left"/>
              <w:rPr>
                <w:rFonts w:ascii="宋体" w:hAnsi="宋体" w:cs="宋体"/>
                <w:color w:val="auto"/>
                <w:kern w:val="0"/>
                <w:sz w:val="24"/>
              </w:rPr>
            </w:pPr>
          </w:p>
        </w:tc>
        <w:tc>
          <w:tcPr>
            <w:tcW w:w="2633"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6F0BEA62">
            <w:pPr>
              <w:widowControl/>
              <w:jc w:val="left"/>
              <w:rPr>
                <w:rFonts w:ascii="宋体" w:hAnsi="宋体" w:cs="宋体"/>
                <w:color w:val="auto"/>
                <w:kern w:val="0"/>
                <w:sz w:val="24"/>
              </w:rPr>
            </w:pPr>
          </w:p>
        </w:tc>
        <w:tc>
          <w:tcPr>
            <w:tcW w:w="2286"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40F3F5FA">
            <w:pPr>
              <w:widowControl/>
              <w:jc w:val="left"/>
              <w:rPr>
                <w:rFonts w:ascii="宋体" w:hAnsi="宋体" w:cs="宋体"/>
                <w:color w:val="auto"/>
                <w:kern w:val="0"/>
                <w:sz w:val="24"/>
              </w:rPr>
            </w:pPr>
          </w:p>
        </w:tc>
        <w:tc>
          <w:tcPr>
            <w:tcW w:w="1344"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3650620F">
            <w:pPr>
              <w:widowControl/>
              <w:jc w:val="left"/>
              <w:rPr>
                <w:rFonts w:ascii="宋体" w:hAnsi="宋体" w:cs="宋体"/>
                <w:color w:val="auto"/>
                <w:kern w:val="0"/>
                <w:sz w:val="24"/>
              </w:rPr>
            </w:pPr>
          </w:p>
        </w:tc>
      </w:tr>
      <w:tr w14:paraId="0A97621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40" w:hRule="atLeast"/>
          <w:tblCellSpacing w:w="15" w:type="dxa"/>
        </w:trPr>
        <w:tc>
          <w:tcPr>
            <w:tcW w:w="783" w:type="dxa"/>
            <w:tcBorders>
              <w:top w:val="single" w:color="auto" w:sz="0" w:space="0"/>
              <w:left w:val="outset" w:color="000000" w:sz="6" w:space="0"/>
              <w:bottom w:val="outset" w:color="000000" w:sz="6" w:space="0"/>
              <w:right w:val="outset" w:color="000000" w:sz="6" w:space="0"/>
            </w:tcBorders>
            <w:tcMar>
              <w:top w:w="0" w:type="dxa"/>
              <w:left w:w="105" w:type="dxa"/>
              <w:bottom w:w="0" w:type="dxa"/>
              <w:right w:w="105" w:type="dxa"/>
            </w:tcMar>
            <w:vAlign w:val="center"/>
          </w:tcPr>
          <w:p w14:paraId="1473D81E">
            <w:pPr>
              <w:widowControl/>
              <w:jc w:val="left"/>
              <w:rPr>
                <w:rFonts w:ascii="宋体" w:hAnsi="宋体" w:cs="宋体"/>
                <w:color w:val="auto"/>
                <w:kern w:val="0"/>
                <w:sz w:val="24"/>
              </w:rPr>
            </w:pPr>
          </w:p>
        </w:tc>
        <w:tc>
          <w:tcPr>
            <w:tcW w:w="1575"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020A20A9">
            <w:pPr>
              <w:widowControl/>
              <w:jc w:val="left"/>
              <w:rPr>
                <w:rFonts w:ascii="宋体" w:hAnsi="宋体" w:cs="宋体"/>
                <w:color w:val="auto"/>
                <w:kern w:val="0"/>
                <w:sz w:val="24"/>
              </w:rPr>
            </w:pPr>
          </w:p>
        </w:tc>
        <w:tc>
          <w:tcPr>
            <w:tcW w:w="2633"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6B6CE39F">
            <w:pPr>
              <w:widowControl/>
              <w:jc w:val="left"/>
              <w:rPr>
                <w:rFonts w:ascii="宋体" w:hAnsi="宋体" w:cs="宋体"/>
                <w:color w:val="auto"/>
                <w:kern w:val="0"/>
                <w:sz w:val="24"/>
              </w:rPr>
            </w:pPr>
          </w:p>
        </w:tc>
        <w:tc>
          <w:tcPr>
            <w:tcW w:w="2286"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0A47F8AF">
            <w:pPr>
              <w:widowControl/>
              <w:jc w:val="left"/>
              <w:rPr>
                <w:rFonts w:ascii="宋体" w:hAnsi="宋体" w:cs="宋体"/>
                <w:color w:val="auto"/>
                <w:kern w:val="0"/>
                <w:sz w:val="24"/>
              </w:rPr>
            </w:pPr>
          </w:p>
        </w:tc>
        <w:tc>
          <w:tcPr>
            <w:tcW w:w="1344"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680E2073">
            <w:pPr>
              <w:widowControl/>
              <w:jc w:val="left"/>
              <w:rPr>
                <w:rFonts w:ascii="宋体" w:hAnsi="宋体" w:cs="宋体"/>
                <w:color w:val="auto"/>
                <w:kern w:val="0"/>
                <w:sz w:val="24"/>
              </w:rPr>
            </w:pPr>
          </w:p>
        </w:tc>
      </w:tr>
    </w:tbl>
    <w:p w14:paraId="3B27E69F">
      <w:pPr>
        <w:widowControl/>
        <w:spacing w:before="75" w:after="75" w:line="375" w:lineRule="atLeast"/>
        <w:jc w:val="left"/>
        <w:rPr>
          <w:rFonts w:ascii="宋体" w:hAnsi="宋体" w:cs="宋体"/>
          <w:b/>
          <w:bCs/>
          <w:color w:val="auto"/>
          <w:kern w:val="0"/>
        </w:rPr>
      </w:pPr>
      <w:r>
        <w:rPr>
          <w:rFonts w:ascii="宋体" w:hAnsi="宋体" w:cs="宋体"/>
          <w:b/>
          <w:bCs/>
          <w:color w:val="auto"/>
          <w:kern w:val="0"/>
        </w:rPr>
        <w:t>注：</w:t>
      </w:r>
    </w:p>
    <w:p w14:paraId="3A4EA392">
      <w:pPr>
        <w:widowControl/>
        <w:spacing w:before="75" w:after="75" w:line="375" w:lineRule="atLeast"/>
        <w:jc w:val="left"/>
        <w:rPr>
          <w:rFonts w:ascii="宋体" w:hAnsi="宋体" w:cs="宋体"/>
          <w:color w:val="auto"/>
          <w:kern w:val="0"/>
          <w:sz w:val="24"/>
        </w:rPr>
      </w:pPr>
      <w:r>
        <w:rPr>
          <w:rFonts w:ascii="宋体" w:hAnsi="宋体" w:cs="宋体"/>
          <w:b/>
          <w:bCs/>
          <w:color w:val="auto"/>
          <w:kern w:val="0"/>
        </w:rPr>
        <w:t>（1）竞争性谈判文件（含技术和服务要求等）规定的各相关条款要求，如果供应商在响应文件中没有以书面方式对竞争性谈判文件规定的各项要求和条款提出不满足或不响应或负偏离，则视为供应商能够完全理解并满足本竞争性谈判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谈判保证金（如果未签订合同）将不予退还，给采购人和采购代理机构造成损失的，还必须进行赔偿并负相关责任。</w:t>
      </w:r>
    </w:p>
    <w:p w14:paraId="3D0CB3D5">
      <w:pPr>
        <w:widowControl/>
        <w:spacing w:before="75" w:after="75" w:line="375" w:lineRule="atLeast"/>
        <w:jc w:val="left"/>
        <w:rPr>
          <w:rFonts w:ascii="宋体" w:hAnsi="宋体" w:cs="宋体"/>
          <w:color w:val="auto"/>
          <w:kern w:val="0"/>
          <w:sz w:val="24"/>
        </w:rPr>
      </w:pPr>
      <w:r>
        <w:rPr>
          <w:rFonts w:ascii="宋体" w:hAnsi="宋体" w:cs="宋体"/>
          <w:b/>
          <w:bCs/>
          <w:color w:val="auto"/>
          <w:kern w:val="0"/>
        </w:rPr>
        <w:t>（2）谈判文件不能详细列明采购标的的技术、服务要求，需经谈判由供应商提供最终设计方案或解决方案的；或者供应商需要说明的内容需要通过图片、视频等特殊表达；无法适用上表格式文字说明的，则供应商可在本表中进行相应说明和页码索引，再另页具体提交应答。</w:t>
      </w:r>
    </w:p>
    <w:p w14:paraId="0329FC56">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供应商代表签字： _________________</w:t>
      </w:r>
    </w:p>
    <w:p w14:paraId="34F7E4B5">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日  期：     年    月    日</w:t>
      </w:r>
    </w:p>
    <w:p w14:paraId="4E122676">
      <w:pPr>
        <w:widowControl/>
        <w:spacing w:before="75" w:after="75"/>
        <w:jc w:val="left"/>
        <w:rPr>
          <w:rFonts w:ascii="宋体" w:hAnsi="宋体" w:cs="宋体"/>
          <w:color w:val="auto"/>
          <w:kern w:val="0"/>
          <w:sz w:val="24"/>
        </w:rPr>
      </w:pPr>
      <w:r>
        <w:rPr>
          <w:rFonts w:ascii="宋体" w:hAnsi="宋体" w:cs="宋体"/>
          <w:color w:val="auto"/>
          <w:kern w:val="0"/>
          <w:sz w:val="24"/>
        </w:rPr>
        <w:br w:type="textWrapping"/>
      </w:r>
    </w:p>
    <w:p w14:paraId="0453D55E">
      <w:pPr>
        <w:widowControl/>
        <w:spacing w:before="75" w:after="75"/>
        <w:jc w:val="left"/>
        <w:rPr>
          <w:rFonts w:ascii="宋体" w:hAnsi="宋体" w:cs="宋体"/>
          <w:color w:val="auto"/>
          <w:kern w:val="0"/>
          <w:sz w:val="24"/>
        </w:rPr>
      </w:pPr>
      <w:r>
        <w:rPr>
          <w:rFonts w:ascii="宋体" w:hAnsi="宋体" w:cs="宋体"/>
          <w:color w:val="auto"/>
          <w:kern w:val="0"/>
          <w:sz w:val="24"/>
        </w:rPr>
        <w:t>附件5-2      </w:t>
      </w:r>
      <w:r>
        <w:rPr>
          <w:rFonts w:ascii="宋体" w:hAnsi="宋体" w:cs="宋体"/>
          <w:b/>
          <w:bCs/>
          <w:color w:val="auto"/>
          <w:kern w:val="0"/>
          <w:sz w:val="24"/>
        </w:rPr>
        <w:t> 商务条件和其它事项响应表 </w:t>
      </w:r>
    </w:p>
    <w:p w14:paraId="17F175C2">
      <w:pPr>
        <w:widowControl/>
        <w:spacing w:before="75" w:after="75" w:line="375" w:lineRule="atLeast"/>
        <w:jc w:val="left"/>
        <w:rPr>
          <w:rFonts w:ascii="宋体" w:hAnsi="宋体" w:cs="宋体"/>
          <w:color w:val="auto"/>
          <w:kern w:val="0"/>
          <w:sz w:val="24"/>
        </w:rPr>
      </w:pPr>
      <w:r>
        <w:rPr>
          <w:rFonts w:ascii="宋体" w:hAnsi="宋体" w:cs="宋体"/>
          <w:color w:val="auto"/>
          <w:kern w:val="0"/>
          <w:sz w:val="24"/>
        </w:rPr>
        <w:t>供应商名称： （全称加盖单位公章）  </w:t>
      </w:r>
    </w:p>
    <w:p w14:paraId="1C34DE66">
      <w:pPr>
        <w:widowControl/>
        <w:spacing w:before="75" w:after="75" w:line="375" w:lineRule="atLeast"/>
        <w:jc w:val="left"/>
        <w:rPr>
          <w:rFonts w:ascii="宋体" w:hAnsi="宋体" w:cs="宋体"/>
          <w:color w:val="auto"/>
          <w:kern w:val="0"/>
          <w:sz w:val="24"/>
        </w:rPr>
      </w:pPr>
      <w:r>
        <w:rPr>
          <w:rFonts w:ascii="宋体" w:hAnsi="宋体" w:cs="宋体"/>
          <w:color w:val="auto"/>
          <w:kern w:val="0"/>
          <w:sz w:val="24"/>
        </w:rPr>
        <w:t>项目编号</w:t>
      </w:r>
      <w:r>
        <w:rPr>
          <w:rFonts w:hint="eastAsia" w:ascii="宋体" w:hAnsi="宋体" w:cs="宋体"/>
          <w:color w:val="auto"/>
          <w:kern w:val="0"/>
          <w:sz w:val="24"/>
        </w:rPr>
        <w:t>∶</w:t>
      </w:r>
      <w:r>
        <w:rPr>
          <w:color w:val="auto"/>
          <w:kern w:val="0"/>
          <w:sz w:val="24"/>
        </w:rPr>
        <w:t>       </w:t>
      </w:r>
    </w:p>
    <w:tbl>
      <w:tblPr>
        <w:tblStyle w:val="14"/>
        <w:tblW w:w="8801" w:type="dxa"/>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834"/>
        <w:gridCol w:w="1613"/>
        <w:gridCol w:w="2678"/>
        <w:gridCol w:w="2344"/>
        <w:gridCol w:w="1332"/>
      </w:tblGrid>
      <w:tr w14:paraId="22FEFB0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945" w:hRule="atLeast"/>
          <w:tblCellSpacing w:w="15" w:type="dxa"/>
        </w:trPr>
        <w:tc>
          <w:tcPr>
            <w:tcW w:w="789" w:type="dxa"/>
            <w:tcBorders>
              <w:top w:val="outset" w:color="000000" w:sz="6" w:space="0"/>
              <w:left w:val="outset" w:color="000000" w:sz="6" w:space="0"/>
              <w:bottom w:val="outset" w:color="000000" w:sz="6" w:space="0"/>
              <w:right w:val="outset" w:color="000000" w:sz="6" w:space="0"/>
            </w:tcBorders>
            <w:tcMar>
              <w:top w:w="0" w:type="dxa"/>
              <w:left w:w="105" w:type="dxa"/>
              <w:bottom w:w="0" w:type="dxa"/>
              <w:right w:w="105" w:type="dxa"/>
            </w:tcMar>
            <w:vAlign w:val="center"/>
          </w:tcPr>
          <w:p w14:paraId="3420E8D8">
            <w:pPr>
              <w:widowControl/>
              <w:spacing w:line="375" w:lineRule="atLeast"/>
              <w:jc w:val="left"/>
              <w:rPr>
                <w:rFonts w:ascii="宋体" w:hAnsi="宋体" w:cs="宋体"/>
                <w:color w:val="auto"/>
                <w:kern w:val="0"/>
                <w:sz w:val="24"/>
              </w:rPr>
            </w:pPr>
            <w:r>
              <w:rPr>
                <w:rFonts w:ascii="宋体" w:hAnsi="宋体" w:cs="宋体"/>
                <w:color w:val="auto"/>
                <w:kern w:val="0"/>
                <w:sz w:val="24"/>
              </w:rPr>
              <w:t>合同包</w:t>
            </w:r>
          </w:p>
        </w:tc>
        <w:tc>
          <w:tcPr>
            <w:tcW w:w="1583" w:type="dxa"/>
            <w:tcBorders>
              <w:top w:val="outset" w:color="000000" w:sz="6"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758E50F7">
            <w:pPr>
              <w:widowControl/>
              <w:spacing w:line="375" w:lineRule="atLeast"/>
              <w:jc w:val="left"/>
              <w:rPr>
                <w:rFonts w:ascii="宋体" w:hAnsi="宋体" w:cs="宋体"/>
                <w:color w:val="auto"/>
                <w:kern w:val="0"/>
                <w:sz w:val="24"/>
              </w:rPr>
            </w:pPr>
            <w:r>
              <w:rPr>
                <w:rFonts w:ascii="宋体" w:hAnsi="宋体" w:cs="宋体"/>
                <w:color w:val="auto"/>
                <w:kern w:val="0"/>
                <w:sz w:val="24"/>
              </w:rPr>
              <w:t>章节条目号</w:t>
            </w:r>
          </w:p>
        </w:tc>
        <w:tc>
          <w:tcPr>
            <w:tcW w:w="2648" w:type="dxa"/>
            <w:tcBorders>
              <w:top w:val="outset" w:color="000000" w:sz="6"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6BE13C91">
            <w:pPr>
              <w:widowControl/>
              <w:spacing w:line="375" w:lineRule="atLeast"/>
              <w:jc w:val="left"/>
              <w:rPr>
                <w:rFonts w:ascii="宋体" w:hAnsi="宋体" w:cs="宋体"/>
                <w:color w:val="auto"/>
                <w:kern w:val="0"/>
                <w:sz w:val="24"/>
              </w:rPr>
            </w:pPr>
            <w:r>
              <w:rPr>
                <w:rFonts w:ascii="宋体" w:hAnsi="宋体" w:cs="宋体"/>
                <w:color w:val="auto"/>
                <w:kern w:val="0"/>
                <w:sz w:val="24"/>
              </w:rPr>
              <w:t>竞争性谈判文件规定的商务条件要求</w:t>
            </w:r>
          </w:p>
        </w:tc>
        <w:tc>
          <w:tcPr>
            <w:tcW w:w="2314" w:type="dxa"/>
            <w:tcBorders>
              <w:top w:val="outset" w:color="000000" w:sz="6"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62B6AC31">
            <w:pPr>
              <w:widowControl/>
              <w:spacing w:line="375" w:lineRule="atLeast"/>
              <w:jc w:val="left"/>
              <w:rPr>
                <w:rFonts w:ascii="宋体" w:hAnsi="宋体" w:cs="宋体"/>
                <w:color w:val="auto"/>
                <w:kern w:val="0"/>
                <w:sz w:val="24"/>
              </w:rPr>
            </w:pPr>
            <w:r>
              <w:rPr>
                <w:rFonts w:ascii="宋体" w:hAnsi="宋体" w:cs="宋体"/>
                <w:color w:val="auto"/>
                <w:kern w:val="0"/>
                <w:sz w:val="24"/>
              </w:rPr>
              <w:t>响应文件响应承诺</w:t>
            </w:r>
          </w:p>
        </w:tc>
        <w:tc>
          <w:tcPr>
            <w:tcW w:w="1287" w:type="dxa"/>
            <w:tcBorders>
              <w:top w:val="outset" w:color="000000" w:sz="6"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31CAA5DB">
            <w:pPr>
              <w:widowControl/>
              <w:spacing w:line="375" w:lineRule="atLeast"/>
              <w:jc w:val="left"/>
              <w:rPr>
                <w:rFonts w:ascii="宋体" w:hAnsi="宋体" w:cs="宋体"/>
                <w:color w:val="auto"/>
                <w:kern w:val="0"/>
                <w:sz w:val="24"/>
              </w:rPr>
            </w:pPr>
            <w:r>
              <w:rPr>
                <w:rFonts w:ascii="宋体" w:hAnsi="宋体" w:cs="宋体"/>
                <w:color w:val="auto"/>
                <w:kern w:val="0"/>
                <w:sz w:val="24"/>
              </w:rPr>
              <w:t>是否偏离及说明</w:t>
            </w:r>
          </w:p>
        </w:tc>
      </w:tr>
      <w:tr w14:paraId="67115DD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40" w:hRule="atLeast"/>
          <w:tblCellSpacing w:w="15" w:type="dxa"/>
        </w:trPr>
        <w:tc>
          <w:tcPr>
            <w:tcW w:w="789" w:type="dxa"/>
            <w:tcBorders>
              <w:top w:val="single" w:color="auto" w:sz="0" w:space="0"/>
              <w:left w:val="outset" w:color="000000" w:sz="6" w:space="0"/>
              <w:bottom w:val="outset" w:color="000000" w:sz="6" w:space="0"/>
              <w:right w:val="outset" w:color="000000" w:sz="6" w:space="0"/>
            </w:tcBorders>
            <w:tcMar>
              <w:top w:w="0" w:type="dxa"/>
              <w:left w:w="105" w:type="dxa"/>
              <w:bottom w:w="0" w:type="dxa"/>
              <w:right w:w="105" w:type="dxa"/>
            </w:tcMar>
            <w:vAlign w:val="center"/>
          </w:tcPr>
          <w:p w14:paraId="4D803314">
            <w:pPr>
              <w:widowControl/>
              <w:jc w:val="left"/>
              <w:rPr>
                <w:rFonts w:ascii="宋体" w:hAnsi="宋体" w:cs="宋体"/>
                <w:color w:val="auto"/>
                <w:kern w:val="0"/>
                <w:sz w:val="24"/>
              </w:rPr>
            </w:pPr>
          </w:p>
        </w:tc>
        <w:tc>
          <w:tcPr>
            <w:tcW w:w="1583"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6D75B037">
            <w:pPr>
              <w:widowControl/>
              <w:jc w:val="left"/>
              <w:rPr>
                <w:rFonts w:ascii="宋体" w:hAnsi="宋体" w:cs="宋体"/>
                <w:color w:val="auto"/>
                <w:kern w:val="0"/>
                <w:sz w:val="24"/>
              </w:rPr>
            </w:pPr>
          </w:p>
        </w:tc>
        <w:tc>
          <w:tcPr>
            <w:tcW w:w="2648"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240AC88D">
            <w:pPr>
              <w:widowControl/>
              <w:jc w:val="left"/>
              <w:rPr>
                <w:rFonts w:ascii="宋体" w:hAnsi="宋体" w:cs="宋体"/>
                <w:color w:val="auto"/>
                <w:kern w:val="0"/>
                <w:sz w:val="24"/>
              </w:rPr>
            </w:pPr>
          </w:p>
        </w:tc>
        <w:tc>
          <w:tcPr>
            <w:tcW w:w="2314"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687382D8">
            <w:pPr>
              <w:widowControl/>
              <w:jc w:val="left"/>
              <w:rPr>
                <w:rFonts w:ascii="宋体" w:hAnsi="宋体" w:cs="宋体"/>
                <w:color w:val="auto"/>
                <w:kern w:val="0"/>
                <w:sz w:val="24"/>
              </w:rPr>
            </w:pPr>
          </w:p>
        </w:tc>
        <w:tc>
          <w:tcPr>
            <w:tcW w:w="1287"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7942F1A0">
            <w:pPr>
              <w:widowControl/>
              <w:jc w:val="left"/>
              <w:rPr>
                <w:rFonts w:ascii="宋体" w:hAnsi="宋体" w:cs="宋体"/>
                <w:color w:val="auto"/>
                <w:kern w:val="0"/>
                <w:sz w:val="24"/>
              </w:rPr>
            </w:pPr>
          </w:p>
        </w:tc>
      </w:tr>
      <w:tr w14:paraId="6C4DBFC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40" w:hRule="atLeast"/>
          <w:tblCellSpacing w:w="15" w:type="dxa"/>
        </w:trPr>
        <w:tc>
          <w:tcPr>
            <w:tcW w:w="789" w:type="dxa"/>
            <w:tcBorders>
              <w:top w:val="single" w:color="auto" w:sz="0" w:space="0"/>
              <w:left w:val="outset" w:color="000000" w:sz="6" w:space="0"/>
              <w:bottom w:val="outset" w:color="000000" w:sz="6" w:space="0"/>
              <w:right w:val="outset" w:color="000000" w:sz="6" w:space="0"/>
            </w:tcBorders>
            <w:tcMar>
              <w:top w:w="0" w:type="dxa"/>
              <w:left w:w="105" w:type="dxa"/>
              <w:bottom w:w="0" w:type="dxa"/>
              <w:right w:w="105" w:type="dxa"/>
            </w:tcMar>
            <w:vAlign w:val="center"/>
          </w:tcPr>
          <w:p w14:paraId="3D70D4B6">
            <w:pPr>
              <w:widowControl/>
              <w:jc w:val="left"/>
              <w:rPr>
                <w:rFonts w:ascii="宋体" w:hAnsi="宋体" w:cs="宋体"/>
                <w:color w:val="auto"/>
                <w:kern w:val="0"/>
                <w:sz w:val="24"/>
              </w:rPr>
            </w:pPr>
          </w:p>
        </w:tc>
        <w:tc>
          <w:tcPr>
            <w:tcW w:w="1583"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1DA96626">
            <w:pPr>
              <w:widowControl/>
              <w:jc w:val="left"/>
              <w:rPr>
                <w:rFonts w:ascii="宋体" w:hAnsi="宋体" w:cs="宋体"/>
                <w:color w:val="auto"/>
                <w:kern w:val="0"/>
                <w:sz w:val="24"/>
              </w:rPr>
            </w:pPr>
          </w:p>
        </w:tc>
        <w:tc>
          <w:tcPr>
            <w:tcW w:w="2648"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7C0E5E04">
            <w:pPr>
              <w:widowControl/>
              <w:jc w:val="left"/>
              <w:rPr>
                <w:rFonts w:ascii="宋体" w:hAnsi="宋体" w:cs="宋体"/>
                <w:color w:val="auto"/>
                <w:kern w:val="0"/>
                <w:sz w:val="24"/>
              </w:rPr>
            </w:pPr>
          </w:p>
        </w:tc>
        <w:tc>
          <w:tcPr>
            <w:tcW w:w="2314"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2AAED006">
            <w:pPr>
              <w:widowControl/>
              <w:jc w:val="left"/>
              <w:rPr>
                <w:rFonts w:ascii="宋体" w:hAnsi="宋体" w:cs="宋体"/>
                <w:color w:val="auto"/>
                <w:kern w:val="0"/>
                <w:sz w:val="24"/>
              </w:rPr>
            </w:pPr>
          </w:p>
        </w:tc>
        <w:tc>
          <w:tcPr>
            <w:tcW w:w="1287"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04007EED">
            <w:pPr>
              <w:widowControl/>
              <w:jc w:val="left"/>
              <w:rPr>
                <w:rFonts w:ascii="宋体" w:hAnsi="宋体" w:cs="宋体"/>
                <w:color w:val="auto"/>
                <w:kern w:val="0"/>
                <w:sz w:val="24"/>
              </w:rPr>
            </w:pPr>
          </w:p>
        </w:tc>
      </w:tr>
      <w:tr w14:paraId="7C77E6D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40" w:hRule="atLeast"/>
          <w:tblCellSpacing w:w="15" w:type="dxa"/>
        </w:trPr>
        <w:tc>
          <w:tcPr>
            <w:tcW w:w="789" w:type="dxa"/>
            <w:tcBorders>
              <w:top w:val="single" w:color="auto" w:sz="0" w:space="0"/>
              <w:left w:val="outset" w:color="000000" w:sz="6" w:space="0"/>
              <w:bottom w:val="outset" w:color="000000" w:sz="6" w:space="0"/>
              <w:right w:val="outset" w:color="000000" w:sz="6" w:space="0"/>
            </w:tcBorders>
            <w:tcMar>
              <w:top w:w="0" w:type="dxa"/>
              <w:left w:w="105" w:type="dxa"/>
              <w:bottom w:w="0" w:type="dxa"/>
              <w:right w:w="105" w:type="dxa"/>
            </w:tcMar>
            <w:vAlign w:val="center"/>
          </w:tcPr>
          <w:p w14:paraId="6508539C">
            <w:pPr>
              <w:widowControl/>
              <w:jc w:val="left"/>
              <w:rPr>
                <w:rFonts w:ascii="宋体" w:hAnsi="宋体" w:cs="宋体"/>
                <w:color w:val="auto"/>
                <w:kern w:val="0"/>
                <w:sz w:val="24"/>
              </w:rPr>
            </w:pPr>
          </w:p>
        </w:tc>
        <w:tc>
          <w:tcPr>
            <w:tcW w:w="1583"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7B107E92">
            <w:pPr>
              <w:widowControl/>
              <w:jc w:val="left"/>
              <w:rPr>
                <w:rFonts w:ascii="宋体" w:hAnsi="宋体" w:cs="宋体"/>
                <w:color w:val="auto"/>
                <w:kern w:val="0"/>
                <w:sz w:val="24"/>
              </w:rPr>
            </w:pPr>
          </w:p>
        </w:tc>
        <w:tc>
          <w:tcPr>
            <w:tcW w:w="2648"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1A0399BF">
            <w:pPr>
              <w:widowControl/>
              <w:jc w:val="left"/>
              <w:rPr>
                <w:rFonts w:ascii="宋体" w:hAnsi="宋体" w:cs="宋体"/>
                <w:color w:val="auto"/>
                <w:kern w:val="0"/>
                <w:sz w:val="24"/>
              </w:rPr>
            </w:pPr>
          </w:p>
        </w:tc>
        <w:tc>
          <w:tcPr>
            <w:tcW w:w="2314"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2BE939A3">
            <w:pPr>
              <w:widowControl/>
              <w:jc w:val="left"/>
              <w:rPr>
                <w:rFonts w:ascii="宋体" w:hAnsi="宋体" w:cs="宋体"/>
                <w:color w:val="auto"/>
                <w:kern w:val="0"/>
                <w:sz w:val="24"/>
              </w:rPr>
            </w:pPr>
          </w:p>
        </w:tc>
        <w:tc>
          <w:tcPr>
            <w:tcW w:w="1287"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540AF3C2">
            <w:pPr>
              <w:widowControl/>
              <w:jc w:val="left"/>
              <w:rPr>
                <w:rFonts w:ascii="宋体" w:hAnsi="宋体" w:cs="宋体"/>
                <w:color w:val="auto"/>
                <w:kern w:val="0"/>
                <w:sz w:val="24"/>
              </w:rPr>
            </w:pPr>
          </w:p>
        </w:tc>
      </w:tr>
      <w:tr w14:paraId="341AE9F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40" w:hRule="atLeast"/>
          <w:tblCellSpacing w:w="15" w:type="dxa"/>
        </w:trPr>
        <w:tc>
          <w:tcPr>
            <w:tcW w:w="789" w:type="dxa"/>
            <w:tcBorders>
              <w:top w:val="single" w:color="auto" w:sz="0" w:space="0"/>
              <w:left w:val="outset" w:color="000000" w:sz="6" w:space="0"/>
              <w:bottom w:val="outset" w:color="000000" w:sz="6" w:space="0"/>
              <w:right w:val="outset" w:color="000000" w:sz="6" w:space="0"/>
            </w:tcBorders>
            <w:tcMar>
              <w:top w:w="0" w:type="dxa"/>
              <w:left w:w="105" w:type="dxa"/>
              <w:bottom w:w="0" w:type="dxa"/>
              <w:right w:w="105" w:type="dxa"/>
            </w:tcMar>
            <w:vAlign w:val="center"/>
          </w:tcPr>
          <w:p w14:paraId="19AEC403">
            <w:pPr>
              <w:widowControl/>
              <w:jc w:val="left"/>
              <w:rPr>
                <w:rFonts w:ascii="宋体" w:hAnsi="宋体" w:cs="宋体"/>
                <w:color w:val="auto"/>
                <w:kern w:val="0"/>
                <w:sz w:val="24"/>
              </w:rPr>
            </w:pPr>
          </w:p>
        </w:tc>
        <w:tc>
          <w:tcPr>
            <w:tcW w:w="1583"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3775E70B">
            <w:pPr>
              <w:widowControl/>
              <w:jc w:val="left"/>
              <w:rPr>
                <w:rFonts w:ascii="宋体" w:hAnsi="宋体" w:cs="宋体"/>
                <w:color w:val="auto"/>
                <w:kern w:val="0"/>
                <w:sz w:val="24"/>
              </w:rPr>
            </w:pPr>
          </w:p>
        </w:tc>
        <w:tc>
          <w:tcPr>
            <w:tcW w:w="2648"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5EE013E9">
            <w:pPr>
              <w:widowControl/>
              <w:jc w:val="left"/>
              <w:rPr>
                <w:rFonts w:ascii="宋体" w:hAnsi="宋体" w:cs="宋体"/>
                <w:color w:val="auto"/>
                <w:kern w:val="0"/>
                <w:sz w:val="24"/>
              </w:rPr>
            </w:pPr>
          </w:p>
        </w:tc>
        <w:tc>
          <w:tcPr>
            <w:tcW w:w="2314"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2054B7D5">
            <w:pPr>
              <w:widowControl/>
              <w:jc w:val="left"/>
              <w:rPr>
                <w:rFonts w:ascii="宋体" w:hAnsi="宋体" w:cs="宋体"/>
                <w:color w:val="auto"/>
                <w:kern w:val="0"/>
                <w:sz w:val="24"/>
              </w:rPr>
            </w:pPr>
          </w:p>
        </w:tc>
        <w:tc>
          <w:tcPr>
            <w:tcW w:w="1287"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21F63C77">
            <w:pPr>
              <w:widowControl/>
              <w:jc w:val="left"/>
              <w:rPr>
                <w:rFonts w:ascii="宋体" w:hAnsi="宋体" w:cs="宋体"/>
                <w:color w:val="auto"/>
                <w:kern w:val="0"/>
                <w:sz w:val="24"/>
              </w:rPr>
            </w:pPr>
          </w:p>
        </w:tc>
      </w:tr>
      <w:tr w14:paraId="678D9FC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40" w:hRule="atLeast"/>
          <w:tblCellSpacing w:w="15" w:type="dxa"/>
        </w:trPr>
        <w:tc>
          <w:tcPr>
            <w:tcW w:w="789" w:type="dxa"/>
            <w:tcBorders>
              <w:top w:val="single" w:color="auto" w:sz="0" w:space="0"/>
              <w:left w:val="outset" w:color="000000" w:sz="6" w:space="0"/>
              <w:bottom w:val="outset" w:color="000000" w:sz="6" w:space="0"/>
              <w:right w:val="outset" w:color="000000" w:sz="6" w:space="0"/>
            </w:tcBorders>
            <w:tcMar>
              <w:top w:w="0" w:type="dxa"/>
              <w:left w:w="105" w:type="dxa"/>
              <w:bottom w:w="0" w:type="dxa"/>
              <w:right w:w="105" w:type="dxa"/>
            </w:tcMar>
            <w:vAlign w:val="center"/>
          </w:tcPr>
          <w:p w14:paraId="6C9C5719">
            <w:pPr>
              <w:widowControl/>
              <w:jc w:val="left"/>
              <w:rPr>
                <w:rFonts w:ascii="宋体" w:hAnsi="宋体" w:cs="宋体"/>
                <w:color w:val="auto"/>
                <w:kern w:val="0"/>
                <w:sz w:val="24"/>
              </w:rPr>
            </w:pPr>
          </w:p>
        </w:tc>
        <w:tc>
          <w:tcPr>
            <w:tcW w:w="1583"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1F37B256">
            <w:pPr>
              <w:widowControl/>
              <w:jc w:val="left"/>
              <w:rPr>
                <w:rFonts w:ascii="宋体" w:hAnsi="宋体" w:cs="宋体"/>
                <w:color w:val="auto"/>
                <w:kern w:val="0"/>
                <w:sz w:val="24"/>
              </w:rPr>
            </w:pPr>
          </w:p>
        </w:tc>
        <w:tc>
          <w:tcPr>
            <w:tcW w:w="2648"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59FE72B2">
            <w:pPr>
              <w:widowControl/>
              <w:jc w:val="left"/>
              <w:rPr>
                <w:rFonts w:ascii="宋体" w:hAnsi="宋体" w:cs="宋体"/>
                <w:color w:val="auto"/>
                <w:kern w:val="0"/>
                <w:sz w:val="24"/>
              </w:rPr>
            </w:pPr>
          </w:p>
        </w:tc>
        <w:tc>
          <w:tcPr>
            <w:tcW w:w="2314"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7D042C6A">
            <w:pPr>
              <w:widowControl/>
              <w:jc w:val="left"/>
              <w:rPr>
                <w:rFonts w:ascii="宋体" w:hAnsi="宋体" w:cs="宋体"/>
                <w:color w:val="auto"/>
                <w:kern w:val="0"/>
                <w:sz w:val="24"/>
              </w:rPr>
            </w:pPr>
          </w:p>
        </w:tc>
        <w:tc>
          <w:tcPr>
            <w:tcW w:w="1287"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229E07B7">
            <w:pPr>
              <w:widowControl/>
              <w:jc w:val="left"/>
              <w:rPr>
                <w:rFonts w:ascii="宋体" w:hAnsi="宋体" w:cs="宋体"/>
                <w:color w:val="auto"/>
                <w:kern w:val="0"/>
                <w:sz w:val="24"/>
              </w:rPr>
            </w:pPr>
          </w:p>
        </w:tc>
      </w:tr>
      <w:tr w14:paraId="3AA0041C">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40" w:hRule="atLeast"/>
          <w:tblCellSpacing w:w="15" w:type="dxa"/>
        </w:trPr>
        <w:tc>
          <w:tcPr>
            <w:tcW w:w="789" w:type="dxa"/>
            <w:tcBorders>
              <w:top w:val="single" w:color="auto" w:sz="0" w:space="0"/>
              <w:left w:val="outset" w:color="000000" w:sz="6" w:space="0"/>
              <w:bottom w:val="outset" w:color="000000" w:sz="6" w:space="0"/>
              <w:right w:val="outset" w:color="000000" w:sz="6" w:space="0"/>
            </w:tcBorders>
            <w:tcMar>
              <w:top w:w="0" w:type="dxa"/>
              <w:left w:w="105" w:type="dxa"/>
              <w:bottom w:w="0" w:type="dxa"/>
              <w:right w:w="105" w:type="dxa"/>
            </w:tcMar>
            <w:vAlign w:val="center"/>
          </w:tcPr>
          <w:p w14:paraId="547AB185">
            <w:pPr>
              <w:widowControl/>
              <w:jc w:val="left"/>
              <w:rPr>
                <w:rFonts w:ascii="宋体" w:hAnsi="宋体" w:cs="宋体"/>
                <w:color w:val="auto"/>
                <w:kern w:val="0"/>
                <w:sz w:val="24"/>
              </w:rPr>
            </w:pPr>
          </w:p>
        </w:tc>
        <w:tc>
          <w:tcPr>
            <w:tcW w:w="1583"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74D871C0">
            <w:pPr>
              <w:widowControl/>
              <w:jc w:val="left"/>
              <w:rPr>
                <w:rFonts w:ascii="宋体" w:hAnsi="宋体" w:cs="宋体"/>
                <w:color w:val="auto"/>
                <w:kern w:val="0"/>
                <w:sz w:val="24"/>
              </w:rPr>
            </w:pPr>
          </w:p>
        </w:tc>
        <w:tc>
          <w:tcPr>
            <w:tcW w:w="2648"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0709BE68">
            <w:pPr>
              <w:widowControl/>
              <w:jc w:val="left"/>
              <w:rPr>
                <w:rFonts w:ascii="宋体" w:hAnsi="宋体" w:cs="宋体"/>
                <w:color w:val="auto"/>
                <w:kern w:val="0"/>
                <w:sz w:val="24"/>
              </w:rPr>
            </w:pPr>
          </w:p>
        </w:tc>
        <w:tc>
          <w:tcPr>
            <w:tcW w:w="2314"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68475547">
            <w:pPr>
              <w:widowControl/>
              <w:jc w:val="left"/>
              <w:rPr>
                <w:rFonts w:ascii="宋体" w:hAnsi="宋体" w:cs="宋体"/>
                <w:color w:val="auto"/>
                <w:kern w:val="0"/>
                <w:sz w:val="24"/>
              </w:rPr>
            </w:pPr>
          </w:p>
        </w:tc>
        <w:tc>
          <w:tcPr>
            <w:tcW w:w="1287"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612BA7CE">
            <w:pPr>
              <w:widowControl/>
              <w:jc w:val="left"/>
              <w:rPr>
                <w:rFonts w:ascii="宋体" w:hAnsi="宋体" w:cs="宋体"/>
                <w:color w:val="auto"/>
                <w:kern w:val="0"/>
                <w:sz w:val="24"/>
              </w:rPr>
            </w:pPr>
          </w:p>
        </w:tc>
      </w:tr>
      <w:tr w14:paraId="7F3C9364">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40" w:hRule="atLeast"/>
          <w:tblCellSpacing w:w="15" w:type="dxa"/>
        </w:trPr>
        <w:tc>
          <w:tcPr>
            <w:tcW w:w="789" w:type="dxa"/>
            <w:tcBorders>
              <w:top w:val="single" w:color="auto" w:sz="0" w:space="0"/>
              <w:left w:val="outset" w:color="000000" w:sz="6" w:space="0"/>
              <w:bottom w:val="outset" w:color="000000" w:sz="6" w:space="0"/>
              <w:right w:val="outset" w:color="000000" w:sz="6" w:space="0"/>
            </w:tcBorders>
            <w:tcMar>
              <w:top w:w="0" w:type="dxa"/>
              <w:left w:w="105" w:type="dxa"/>
              <w:bottom w:w="0" w:type="dxa"/>
              <w:right w:w="105" w:type="dxa"/>
            </w:tcMar>
            <w:vAlign w:val="center"/>
          </w:tcPr>
          <w:p w14:paraId="30181372">
            <w:pPr>
              <w:widowControl/>
              <w:jc w:val="left"/>
              <w:rPr>
                <w:rFonts w:ascii="宋体" w:hAnsi="宋体" w:cs="宋体"/>
                <w:color w:val="auto"/>
                <w:kern w:val="0"/>
                <w:sz w:val="24"/>
              </w:rPr>
            </w:pPr>
          </w:p>
        </w:tc>
        <w:tc>
          <w:tcPr>
            <w:tcW w:w="1583"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31FE7770">
            <w:pPr>
              <w:widowControl/>
              <w:jc w:val="left"/>
              <w:rPr>
                <w:rFonts w:ascii="宋体" w:hAnsi="宋体" w:cs="宋体"/>
                <w:color w:val="auto"/>
                <w:kern w:val="0"/>
                <w:sz w:val="24"/>
              </w:rPr>
            </w:pPr>
          </w:p>
        </w:tc>
        <w:tc>
          <w:tcPr>
            <w:tcW w:w="2648"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22D47B3B">
            <w:pPr>
              <w:widowControl/>
              <w:jc w:val="left"/>
              <w:rPr>
                <w:rFonts w:ascii="宋体" w:hAnsi="宋体" w:cs="宋体"/>
                <w:color w:val="auto"/>
                <w:kern w:val="0"/>
                <w:sz w:val="24"/>
              </w:rPr>
            </w:pPr>
          </w:p>
        </w:tc>
        <w:tc>
          <w:tcPr>
            <w:tcW w:w="2314"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2FECB197">
            <w:pPr>
              <w:widowControl/>
              <w:jc w:val="left"/>
              <w:rPr>
                <w:rFonts w:ascii="宋体" w:hAnsi="宋体" w:cs="宋体"/>
                <w:color w:val="auto"/>
                <w:kern w:val="0"/>
                <w:sz w:val="24"/>
              </w:rPr>
            </w:pPr>
          </w:p>
        </w:tc>
        <w:tc>
          <w:tcPr>
            <w:tcW w:w="1287"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24B5411C">
            <w:pPr>
              <w:widowControl/>
              <w:jc w:val="left"/>
              <w:rPr>
                <w:rFonts w:ascii="宋体" w:hAnsi="宋体" w:cs="宋体"/>
                <w:color w:val="auto"/>
                <w:kern w:val="0"/>
                <w:sz w:val="24"/>
              </w:rPr>
            </w:pPr>
          </w:p>
        </w:tc>
      </w:tr>
      <w:tr w14:paraId="212508B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40" w:hRule="atLeast"/>
          <w:tblCellSpacing w:w="15" w:type="dxa"/>
        </w:trPr>
        <w:tc>
          <w:tcPr>
            <w:tcW w:w="789" w:type="dxa"/>
            <w:tcBorders>
              <w:top w:val="single" w:color="auto" w:sz="0" w:space="0"/>
              <w:left w:val="outset" w:color="000000" w:sz="6" w:space="0"/>
              <w:bottom w:val="outset" w:color="000000" w:sz="6" w:space="0"/>
              <w:right w:val="outset" w:color="000000" w:sz="6" w:space="0"/>
            </w:tcBorders>
            <w:tcMar>
              <w:top w:w="0" w:type="dxa"/>
              <w:left w:w="105" w:type="dxa"/>
              <w:bottom w:w="0" w:type="dxa"/>
              <w:right w:w="105" w:type="dxa"/>
            </w:tcMar>
            <w:vAlign w:val="center"/>
          </w:tcPr>
          <w:p w14:paraId="582EF8B9">
            <w:pPr>
              <w:widowControl/>
              <w:jc w:val="left"/>
              <w:rPr>
                <w:rFonts w:ascii="宋体" w:hAnsi="宋体" w:cs="宋体"/>
                <w:color w:val="auto"/>
                <w:kern w:val="0"/>
                <w:sz w:val="24"/>
              </w:rPr>
            </w:pPr>
          </w:p>
        </w:tc>
        <w:tc>
          <w:tcPr>
            <w:tcW w:w="1583"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7A51EBFE">
            <w:pPr>
              <w:widowControl/>
              <w:jc w:val="left"/>
              <w:rPr>
                <w:rFonts w:ascii="宋体" w:hAnsi="宋体" w:cs="宋体"/>
                <w:color w:val="auto"/>
                <w:kern w:val="0"/>
                <w:sz w:val="24"/>
              </w:rPr>
            </w:pPr>
          </w:p>
        </w:tc>
        <w:tc>
          <w:tcPr>
            <w:tcW w:w="2648"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2480C1EF">
            <w:pPr>
              <w:widowControl/>
              <w:jc w:val="left"/>
              <w:rPr>
                <w:rFonts w:ascii="宋体" w:hAnsi="宋体" w:cs="宋体"/>
                <w:color w:val="auto"/>
                <w:kern w:val="0"/>
                <w:sz w:val="24"/>
              </w:rPr>
            </w:pPr>
          </w:p>
        </w:tc>
        <w:tc>
          <w:tcPr>
            <w:tcW w:w="2314"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5FE755A0">
            <w:pPr>
              <w:widowControl/>
              <w:jc w:val="left"/>
              <w:rPr>
                <w:rFonts w:ascii="宋体" w:hAnsi="宋体" w:cs="宋体"/>
                <w:color w:val="auto"/>
                <w:kern w:val="0"/>
                <w:sz w:val="24"/>
              </w:rPr>
            </w:pPr>
          </w:p>
        </w:tc>
        <w:tc>
          <w:tcPr>
            <w:tcW w:w="1287" w:type="dxa"/>
            <w:tcBorders>
              <w:top w:val="single" w:color="auto" w:sz="0" w:space="0"/>
              <w:left w:val="single" w:color="auto" w:sz="0" w:space="0"/>
              <w:bottom w:val="outset" w:color="000000" w:sz="6" w:space="0"/>
              <w:right w:val="outset" w:color="000000" w:sz="6" w:space="0"/>
            </w:tcBorders>
            <w:tcMar>
              <w:top w:w="0" w:type="dxa"/>
              <w:left w:w="105" w:type="dxa"/>
              <w:bottom w:w="0" w:type="dxa"/>
              <w:right w:w="105" w:type="dxa"/>
            </w:tcMar>
            <w:vAlign w:val="center"/>
          </w:tcPr>
          <w:p w14:paraId="2D137F30">
            <w:pPr>
              <w:widowControl/>
              <w:jc w:val="left"/>
              <w:rPr>
                <w:rFonts w:ascii="宋体" w:hAnsi="宋体" w:cs="宋体"/>
                <w:color w:val="auto"/>
                <w:kern w:val="0"/>
                <w:sz w:val="24"/>
              </w:rPr>
            </w:pPr>
          </w:p>
        </w:tc>
      </w:tr>
    </w:tbl>
    <w:p w14:paraId="0B64D3F8">
      <w:pPr>
        <w:widowControl/>
        <w:spacing w:before="75" w:after="75" w:line="375" w:lineRule="atLeast"/>
        <w:jc w:val="left"/>
        <w:rPr>
          <w:rFonts w:ascii="宋体" w:hAnsi="宋体" w:cs="宋体"/>
          <w:b/>
          <w:bCs/>
          <w:color w:val="auto"/>
          <w:kern w:val="0"/>
        </w:rPr>
      </w:pPr>
      <w:r>
        <w:rPr>
          <w:rFonts w:ascii="宋体" w:hAnsi="宋体" w:cs="宋体"/>
          <w:b/>
          <w:bCs/>
          <w:color w:val="auto"/>
          <w:kern w:val="0"/>
        </w:rPr>
        <w:t>注：</w:t>
      </w:r>
    </w:p>
    <w:p w14:paraId="5E883DC6">
      <w:pPr>
        <w:widowControl/>
        <w:spacing w:before="75" w:after="75" w:line="375" w:lineRule="atLeast"/>
        <w:jc w:val="left"/>
        <w:rPr>
          <w:rFonts w:ascii="宋体" w:hAnsi="宋体" w:cs="宋体"/>
          <w:color w:val="auto"/>
          <w:kern w:val="0"/>
          <w:sz w:val="24"/>
        </w:rPr>
      </w:pPr>
      <w:r>
        <w:rPr>
          <w:rFonts w:ascii="宋体" w:hAnsi="宋体" w:cs="宋体"/>
          <w:b/>
          <w:bCs/>
          <w:color w:val="auto"/>
          <w:kern w:val="0"/>
        </w:rPr>
        <w:t>（1）竞争性谈判文件（含技术和服务要求等）规定的各相关条款要求，如果供应商在响应文件中没有以书面方式对竞争性谈判文件规定的各项要求和条款提出不满足或不响应或负偏离，则视为供应商能够完全理解并满足本竞争性谈判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谈判保证金（如果未签订合同）将不予退还，给采购人和采购代理机构造成损失的，还必须进行赔偿并负相关责任。</w:t>
      </w:r>
    </w:p>
    <w:p w14:paraId="429FA029">
      <w:pPr>
        <w:widowControl/>
        <w:spacing w:before="75" w:after="75" w:line="375" w:lineRule="atLeast"/>
        <w:jc w:val="left"/>
        <w:rPr>
          <w:rFonts w:ascii="宋体" w:hAnsi="宋体" w:cs="宋体"/>
          <w:color w:val="auto"/>
          <w:kern w:val="0"/>
          <w:sz w:val="24"/>
        </w:rPr>
      </w:pPr>
      <w:r>
        <w:rPr>
          <w:rFonts w:ascii="宋体" w:hAnsi="宋体" w:cs="宋体"/>
          <w:b/>
          <w:bCs/>
          <w:color w:val="auto"/>
          <w:kern w:val="0"/>
        </w:rPr>
        <w:t>（2）谈判文件不能详细列明采购标的的技术、服务要求，需经谈判由供应商提供最终设计方案或解决方案的；或者供应商需要说明的内容需要通过图片、视频等特殊表达；无法适用上表格式文字说明的，则供应商可在本表中进行相应说明和页码索引，再另页具体提交应答。</w:t>
      </w:r>
    </w:p>
    <w:p w14:paraId="20F4AFBF">
      <w:pPr>
        <w:widowControl/>
        <w:spacing w:before="75" w:after="75" w:line="375" w:lineRule="atLeast"/>
        <w:jc w:val="left"/>
        <w:rPr>
          <w:rFonts w:ascii="宋体" w:hAnsi="宋体" w:cs="宋体"/>
          <w:color w:val="auto"/>
          <w:kern w:val="0"/>
          <w:sz w:val="24"/>
        </w:rPr>
      </w:pPr>
      <w:r>
        <w:rPr>
          <w:rFonts w:ascii="宋体" w:hAnsi="宋体" w:cs="宋体"/>
          <w:color w:val="auto"/>
          <w:kern w:val="0"/>
          <w:sz w:val="24"/>
        </w:rPr>
        <w:t>供应商代表签字： _________________</w:t>
      </w:r>
    </w:p>
    <w:p w14:paraId="262C6085">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日  期：     年    月    日</w:t>
      </w:r>
    </w:p>
    <w:p w14:paraId="535ECAD4">
      <w:pPr>
        <w:widowControl/>
        <w:spacing w:before="75" w:after="75" w:line="420" w:lineRule="atLeast"/>
        <w:jc w:val="left"/>
        <w:rPr>
          <w:rFonts w:ascii="宋体" w:hAnsi="宋体" w:cs="宋体"/>
          <w:color w:val="auto"/>
          <w:kern w:val="0"/>
          <w:sz w:val="24"/>
        </w:rPr>
      </w:pPr>
    </w:p>
    <w:p w14:paraId="02332340">
      <w:pPr>
        <w:widowControl/>
        <w:spacing w:before="75" w:after="75" w:line="420" w:lineRule="atLeast"/>
        <w:jc w:val="left"/>
        <w:rPr>
          <w:rFonts w:ascii="宋体" w:hAnsi="宋体" w:cs="宋体"/>
          <w:color w:val="auto"/>
          <w:kern w:val="0"/>
          <w:sz w:val="24"/>
        </w:rPr>
      </w:pPr>
      <w:r>
        <w:rPr>
          <w:rFonts w:ascii="宋体" w:hAnsi="宋体" w:cs="宋体"/>
          <w:color w:val="auto"/>
          <w:kern w:val="0"/>
          <w:sz w:val="24"/>
        </w:rPr>
        <w:t>附件6    </w:t>
      </w:r>
      <w:r>
        <w:rPr>
          <w:rFonts w:ascii="宋体" w:hAnsi="宋体" w:cs="宋体"/>
          <w:b/>
          <w:bCs/>
          <w:color w:val="auto"/>
          <w:kern w:val="0"/>
          <w:sz w:val="24"/>
        </w:rPr>
        <w:t>  相关技术、商务、服务响应承诺及资料</w:t>
      </w:r>
    </w:p>
    <w:p w14:paraId="32017315">
      <w:pPr>
        <w:widowControl/>
        <w:spacing w:before="75" w:after="75" w:line="420" w:lineRule="atLeast"/>
        <w:jc w:val="left"/>
        <w:rPr>
          <w:rFonts w:ascii="宋体" w:hAnsi="宋体" w:cs="宋体"/>
          <w:color w:val="auto"/>
          <w:kern w:val="0"/>
          <w:sz w:val="24"/>
        </w:rPr>
      </w:pPr>
      <w:r>
        <w:rPr>
          <w:rFonts w:ascii="宋体" w:hAnsi="宋体" w:cs="宋体"/>
          <w:color w:val="auto"/>
          <w:kern w:val="0"/>
          <w:sz w:val="24"/>
        </w:rPr>
        <w:t> </w:t>
      </w:r>
    </w:p>
    <w:p w14:paraId="40051B87">
      <w:pPr>
        <w:widowControl/>
        <w:spacing w:before="75" w:after="75" w:line="495" w:lineRule="atLeast"/>
        <w:jc w:val="left"/>
        <w:rPr>
          <w:rFonts w:ascii="宋体" w:hAnsi="宋体" w:cs="宋体"/>
          <w:color w:val="auto"/>
          <w:kern w:val="0"/>
          <w:sz w:val="24"/>
        </w:rPr>
      </w:pPr>
      <w:r>
        <w:rPr>
          <w:rFonts w:ascii="宋体" w:hAnsi="宋体" w:cs="宋体"/>
          <w:b/>
          <w:bCs/>
          <w:color w:val="auto"/>
          <w:kern w:val="0"/>
          <w:sz w:val="24"/>
        </w:rPr>
        <w:t>说明：    </w:t>
      </w:r>
    </w:p>
    <w:p w14:paraId="4A216DD4">
      <w:pPr>
        <w:widowControl/>
        <w:spacing w:before="75" w:after="75" w:line="495" w:lineRule="atLeast"/>
        <w:jc w:val="left"/>
        <w:rPr>
          <w:rFonts w:ascii="宋体" w:hAnsi="宋体" w:cs="宋体"/>
          <w:color w:val="auto"/>
          <w:kern w:val="0"/>
          <w:sz w:val="24"/>
        </w:rPr>
      </w:pPr>
      <w:r>
        <w:rPr>
          <w:rFonts w:ascii="宋体" w:hAnsi="宋体" w:cs="宋体"/>
          <w:color w:val="auto"/>
          <w:kern w:val="0"/>
          <w:sz w:val="24"/>
        </w:rPr>
        <w:t>  1.采购人或采购代理机构可以根据项目的特点和需要，在谈判文件中对供应商需要提供的相关技术、商务、服务响应承诺及资料进行具体规定或附表格式，供应商应按照谈判文件要求提供相关承诺及材料，并加盖供应商单位公章。</w:t>
      </w:r>
    </w:p>
    <w:p w14:paraId="146A1EAE">
      <w:pPr>
        <w:widowControl/>
        <w:spacing w:before="75" w:after="75" w:line="495" w:lineRule="atLeast"/>
        <w:jc w:val="left"/>
        <w:rPr>
          <w:rFonts w:ascii="宋体" w:hAnsi="宋体" w:cs="宋体"/>
          <w:color w:val="auto"/>
          <w:kern w:val="0"/>
          <w:sz w:val="24"/>
        </w:rPr>
      </w:pPr>
      <w:r>
        <w:rPr>
          <w:rFonts w:ascii="宋体" w:hAnsi="宋体" w:cs="宋体"/>
          <w:color w:val="auto"/>
          <w:kern w:val="0"/>
          <w:sz w:val="24"/>
        </w:rPr>
        <w:t>  2.如果没有特别要求的，供应商根据谈判文件的要求以及特点，提供相关技术、商务、服务响应承诺及资料，格式自拟。</w:t>
      </w:r>
    </w:p>
    <w:p w14:paraId="7A1ED1AA">
      <w:pPr>
        <w:widowControl/>
        <w:spacing w:before="75" w:after="75" w:line="495" w:lineRule="atLeast"/>
        <w:jc w:val="left"/>
        <w:rPr>
          <w:rFonts w:ascii="宋体" w:hAnsi="宋体" w:cs="宋体"/>
          <w:color w:val="auto"/>
          <w:kern w:val="0"/>
          <w:sz w:val="24"/>
        </w:rPr>
      </w:pPr>
      <w:r>
        <w:rPr>
          <w:rFonts w:ascii="宋体" w:hAnsi="宋体" w:cs="宋体"/>
          <w:b/>
          <w:bCs/>
          <w:color w:val="auto"/>
          <w:kern w:val="0"/>
          <w:sz w:val="24"/>
        </w:rPr>
        <w:t> </w:t>
      </w:r>
    </w:p>
    <w:p w14:paraId="7E754973">
      <w:pPr>
        <w:widowControl/>
        <w:spacing w:before="75" w:after="75" w:line="495" w:lineRule="atLeast"/>
        <w:jc w:val="left"/>
        <w:rPr>
          <w:rFonts w:ascii="宋体" w:hAnsi="宋体" w:cs="宋体"/>
          <w:color w:val="auto"/>
          <w:kern w:val="0"/>
          <w:sz w:val="24"/>
        </w:rPr>
      </w:pPr>
      <w:r>
        <w:rPr>
          <w:rFonts w:ascii="宋体" w:hAnsi="宋体" w:cs="宋体"/>
          <w:b/>
          <w:bCs/>
          <w:color w:val="auto"/>
          <w:kern w:val="0"/>
          <w:sz w:val="24"/>
        </w:rPr>
        <w:t> </w:t>
      </w:r>
    </w:p>
    <w:p w14:paraId="50DEFDA9">
      <w:pPr>
        <w:widowControl/>
        <w:spacing w:before="75" w:after="75" w:line="420" w:lineRule="atLeast"/>
        <w:ind w:firstLine="480"/>
        <w:jc w:val="left"/>
        <w:rPr>
          <w:rFonts w:ascii="宋体" w:hAnsi="宋体" w:cs="宋体"/>
          <w:color w:val="auto"/>
          <w:kern w:val="0"/>
          <w:sz w:val="24"/>
        </w:rPr>
      </w:pPr>
      <w:r>
        <w:rPr>
          <w:rFonts w:ascii="宋体" w:hAnsi="宋体" w:cs="宋体"/>
          <w:color w:val="auto"/>
          <w:kern w:val="0"/>
          <w:sz w:val="24"/>
        </w:rPr>
        <w:t> </w:t>
      </w:r>
    </w:p>
    <w:p w14:paraId="08839AAD">
      <w:pPr>
        <w:widowControl/>
        <w:spacing w:before="75" w:after="75" w:line="420" w:lineRule="atLeast"/>
        <w:ind w:firstLine="480"/>
        <w:jc w:val="left"/>
        <w:rPr>
          <w:rFonts w:ascii="宋体" w:hAnsi="宋体" w:cs="宋体"/>
          <w:color w:val="auto"/>
          <w:kern w:val="0"/>
          <w:sz w:val="24"/>
        </w:rPr>
      </w:pPr>
      <w:r>
        <w:rPr>
          <w:rFonts w:ascii="宋体" w:hAnsi="宋体" w:cs="宋体"/>
          <w:color w:val="auto"/>
          <w:kern w:val="0"/>
          <w:sz w:val="24"/>
        </w:rPr>
        <w:t> </w:t>
      </w:r>
    </w:p>
    <w:p w14:paraId="05BAF781">
      <w:pPr>
        <w:widowControl/>
        <w:spacing w:before="75" w:after="75" w:line="435" w:lineRule="atLeast"/>
        <w:rPr>
          <w:rFonts w:ascii="宋体" w:hAnsi="宋体" w:cs="宋体"/>
          <w:color w:val="auto"/>
          <w:kern w:val="0"/>
          <w:sz w:val="24"/>
        </w:rPr>
      </w:pPr>
      <w:r>
        <w:rPr>
          <w:rFonts w:ascii="宋体" w:hAnsi="宋体" w:cs="宋体"/>
          <w:color w:val="auto"/>
          <w:kern w:val="0"/>
          <w:sz w:val="24"/>
        </w:rPr>
        <w:t>供应商代表：           （签字） </w:t>
      </w:r>
    </w:p>
    <w:p w14:paraId="7829E845">
      <w:pPr>
        <w:widowControl/>
        <w:spacing w:before="75" w:after="75" w:line="435" w:lineRule="atLeast"/>
        <w:rPr>
          <w:rFonts w:ascii="宋体" w:hAnsi="宋体" w:cs="宋体"/>
          <w:color w:val="auto"/>
          <w:kern w:val="0"/>
          <w:sz w:val="24"/>
        </w:rPr>
      </w:pPr>
      <w:r>
        <w:rPr>
          <w:rFonts w:ascii="宋体" w:hAnsi="宋体" w:cs="宋体"/>
          <w:color w:val="auto"/>
          <w:kern w:val="0"/>
          <w:sz w:val="24"/>
        </w:rPr>
        <w:t>供应商名称：       （全称并加盖公章）              </w:t>
      </w:r>
    </w:p>
    <w:p w14:paraId="31876E4D">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日  期：     年    月    日</w:t>
      </w:r>
    </w:p>
    <w:p w14:paraId="602488EE">
      <w:pPr>
        <w:widowControl/>
        <w:spacing w:before="75" w:after="75" w:line="420" w:lineRule="atLeast"/>
        <w:ind w:firstLine="480"/>
        <w:jc w:val="left"/>
        <w:rPr>
          <w:rFonts w:ascii="宋体" w:hAnsi="宋体" w:cs="宋体"/>
          <w:color w:val="auto"/>
          <w:kern w:val="0"/>
          <w:sz w:val="24"/>
        </w:rPr>
      </w:pPr>
      <w:r>
        <w:rPr>
          <w:rFonts w:ascii="宋体" w:hAnsi="宋体" w:cs="宋体"/>
          <w:color w:val="auto"/>
          <w:kern w:val="0"/>
          <w:sz w:val="24"/>
        </w:rPr>
        <w:t> </w:t>
      </w:r>
    </w:p>
    <w:p w14:paraId="1D3B041A">
      <w:pPr>
        <w:widowControl/>
        <w:spacing w:before="75" w:after="75" w:line="495" w:lineRule="atLeast"/>
        <w:jc w:val="left"/>
        <w:rPr>
          <w:rFonts w:ascii="宋体" w:hAnsi="宋体" w:cs="宋体"/>
          <w:color w:val="auto"/>
          <w:kern w:val="0"/>
          <w:sz w:val="24"/>
        </w:rPr>
      </w:pPr>
      <w:r>
        <w:rPr>
          <w:rFonts w:ascii="宋体" w:hAnsi="宋体" w:cs="宋体"/>
          <w:color w:val="auto"/>
          <w:kern w:val="0"/>
          <w:sz w:val="24"/>
        </w:rPr>
        <w:t> </w:t>
      </w:r>
    </w:p>
    <w:p w14:paraId="68901BCB">
      <w:pPr>
        <w:widowControl/>
        <w:spacing w:before="75" w:after="75" w:line="495" w:lineRule="atLeast"/>
        <w:jc w:val="left"/>
        <w:rPr>
          <w:rFonts w:ascii="宋体" w:hAnsi="宋体" w:cs="宋体"/>
          <w:color w:val="auto"/>
          <w:kern w:val="0"/>
          <w:sz w:val="24"/>
        </w:rPr>
      </w:pPr>
      <w:r>
        <w:rPr>
          <w:rFonts w:ascii="宋体" w:hAnsi="宋体" w:cs="宋体"/>
          <w:b/>
          <w:bCs/>
          <w:color w:val="auto"/>
          <w:kern w:val="0"/>
          <w:sz w:val="24"/>
        </w:rPr>
        <w:t> </w:t>
      </w:r>
    </w:p>
    <w:p w14:paraId="0A162400">
      <w:pPr>
        <w:widowControl/>
        <w:spacing w:before="75" w:after="75" w:line="495" w:lineRule="atLeast"/>
        <w:jc w:val="left"/>
        <w:rPr>
          <w:rFonts w:ascii="宋体" w:hAnsi="宋体" w:cs="宋体"/>
          <w:color w:val="auto"/>
          <w:kern w:val="0"/>
          <w:sz w:val="24"/>
        </w:rPr>
      </w:pPr>
      <w:r>
        <w:rPr>
          <w:rFonts w:ascii="宋体" w:hAnsi="宋体" w:cs="宋体"/>
          <w:b/>
          <w:bCs/>
          <w:color w:val="auto"/>
          <w:kern w:val="0"/>
          <w:sz w:val="24"/>
        </w:rPr>
        <w:t> </w:t>
      </w:r>
    </w:p>
    <w:p w14:paraId="339550E1">
      <w:pPr>
        <w:widowControl/>
        <w:spacing w:before="75" w:after="75" w:line="495" w:lineRule="atLeast"/>
        <w:jc w:val="left"/>
        <w:rPr>
          <w:rFonts w:ascii="宋体" w:hAnsi="宋体" w:cs="宋体"/>
          <w:color w:val="auto"/>
          <w:kern w:val="0"/>
          <w:sz w:val="24"/>
        </w:rPr>
      </w:pPr>
      <w:r>
        <w:rPr>
          <w:rFonts w:ascii="宋体" w:hAnsi="宋体" w:cs="宋体"/>
          <w:b/>
          <w:bCs/>
          <w:color w:val="auto"/>
          <w:kern w:val="0"/>
          <w:sz w:val="24"/>
        </w:rPr>
        <w:t> </w:t>
      </w:r>
    </w:p>
    <w:p w14:paraId="4CF91D5E">
      <w:pPr>
        <w:widowControl/>
        <w:spacing w:before="75" w:after="75"/>
        <w:jc w:val="left"/>
        <w:rPr>
          <w:rFonts w:ascii="宋体" w:hAnsi="宋体" w:cs="宋体"/>
          <w:color w:val="auto"/>
          <w:kern w:val="0"/>
          <w:sz w:val="24"/>
        </w:rPr>
      </w:pPr>
      <w:r>
        <w:rPr>
          <w:rFonts w:ascii="宋体" w:hAnsi="宋体" w:cs="宋体"/>
          <w:color w:val="auto"/>
          <w:kern w:val="0"/>
          <w:sz w:val="24"/>
        </w:rPr>
        <w:t> </w:t>
      </w:r>
    </w:p>
    <w:p w14:paraId="54D827A2">
      <w:pPr>
        <w:widowControl/>
        <w:spacing w:before="75" w:after="75" w:line="420" w:lineRule="atLeast"/>
        <w:jc w:val="left"/>
        <w:rPr>
          <w:rFonts w:ascii="宋体" w:hAnsi="宋体" w:cs="宋体"/>
          <w:color w:val="auto"/>
          <w:kern w:val="0"/>
          <w:sz w:val="24"/>
        </w:rPr>
      </w:pPr>
      <w:r>
        <w:rPr>
          <w:rFonts w:ascii="宋体" w:hAnsi="宋体" w:cs="宋体"/>
          <w:color w:val="auto"/>
          <w:kern w:val="0"/>
          <w:sz w:val="24"/>
        </w:rPr>
        <w:t> </w:t>
      </w:r>
    </w:p>
    <w:p w14:paraId="0150C3EE">
      <w:pPr>
        <w:widowControl/>
        <w:spacing w:before="75" w:after="75" w:line="465" w:lineRule="atLeast"/>
        <w:jc w:val="left"/>
        <w:rPr>
          <w:rFonts w:ascii="宋体" w:hAnsi="宋体" w:cs="宋体"/>
          <w:color w:val="auto"/>
          <w:kern w:val="0"/>
          <w:sz w:val="24"/>
        </w:rPr>
      </w:pPr>
      <w:r>
        <w:rPr>
          <w:rFonts w:ascii="宋体" w:hAnsi="宋体" w:cs="宋体"/>
          <w:color w:val="auto"/>
          <w:kern w:val="0"/>
          <w:sz w:val="24"/>
        </w:rPr>
        <w:t> </w:t>
      </w:r>
    </w:p>
    <w:p w14:paraId="7903190F">
      <w:pPr>
        <w:widowControl/>
        <w:spacing w:before="75" w:after="75" w:line="465" w:lineRule="atLeast"/>
        <w:jc w:val="left"/>
        <w:rPr>
          <w:rFonts w:ascii="宋体" w:hAnsi="宋体" w:cs="宋体"/>
          <w:color w:val="auto"/>
          <w:kern w:val="0"/>
          <w:sz w:val="24"/>
        </w:rPr>
      </w:pPr>
    </w:p>
    <w:p w14:paraId="474A467F">
      <w:pPr>
        <w:widowControl/>
        <w:spacing w:before="75" w:after="75" w:line="465" w:lineRule="atLeast"/>
        <w:jc w:val="left"/>
        <w:rPr>
          <w:rFonts w:ascii="宋体" w:hAnsi="宋体" w:cs="宋体"/>
          <w:color w:val="auto"/>
          <w:kern w:val="0"/>
          <w:sz w:val="24"/>
        </w:rPr>
      </w:pPr>
    </w:p>
    <w:p w14:paraId="266D6CE1">
      <w:pPr>
        <w:widowControl/>
        <w:spacing w:before="75" w:after="75" w:line="465" w:lineRule="atLeast"/>
        <w:jc w:val="left"/>
        <w:rPr>
          <w:rFonts w:ascii="宋体" w:hAnsi="宋体" w:cs="宋体"/>
          <w:color w:val="auto"/>
          <w:kern w:val="0"/>
          <w:sz w:val="24"/>
        </w:rPr>
      </w:pPr>
    </w:p>
    <w:p w14:paraId="35275DC1">
      <w:pPr>
        <w:widowControl/>
        <w:spacing w:before="75" w:after="75" w:line="465" w:lineRule="atLeast"/>
        <w:jc w:val="left"/>
        <w:rPr>
          <w:rFonts w:ascii="宋体" w:hAnsi="宋体" w:cs="宋体"/>
          <w:color w:val="auto"/>
          <w:kern w:val="0"/>
          <w:sz w:val="24"/>
        </w:rPr>
      </w:pPr>
      <w:r>
        <w:rPr>
          <w:rFonts w:ascii="宋体" w:hAnsi="宋体" w:cs="宋体"/>
          <w:color w:val="auto"/>
          <w:kern w:val="0"/>
          <w:sz w:val="24"/>
        </w:rPr>
        <w:t>附件7     </w:t>
      </w:r>
      <w:r>
        <w:rPr>
          <w:rFonts w:ascii="宋体" w:hAnsi="宋体" w:cs="宋体"/>
          <w:b/>
          <w:bCs/>
          <w:color w:val="auto"/>
          <w:kern w:val="0"/>
          <w:sz w:val="24"/>
        </w:rPr>
        <w:t>供应商提交符合政府采购政策的证明材料</w:t>
      </w:r>
    </w:p>
    <w:p w14:paraId="397B704D">
      <w:pPr>
        <w:widowControl/>
        <w:spacing w:before="75" w:after="75" w:line="420" w:lineRule="atLeast"/>
        <w:ind w:firstLine="480"/>
        <w:jc w:val="left"/>
        <w:rPr>
          <w:rFonts w:ascii="宋体" w:hAnsi="宋体" w:cs="宋体"/>
          <w:color w:val="auto"/>
          <w:kern w:val="0"/>
          <w:sz w:val="24"/>
        </w:rPr>
      </w:pPr>
      <w:r>
        <w:rPr>
          <w:rFonts w:ascii="宋体" w:hAnsi="宋体" w:cs="宋体"/>
          <w:color w:val="auto"/>
          <w:kern w:val="0"/>
          <w:sz w:val="24"/>
        </w:rPr>
        <w:t> </w:t>
      </w:r>
    </w:p>
    <w:p w14:paraId="48D4F27A">
      <w:pPr>
        <w:widowControl/>
        <w:spacing w:before="75" w:after="75"/>
        <w:jc w:val="left"/>
        <w:rPr>
          <w:rFonts w:ascii="宋体" w:hAnsi="宋体" w:cs="宋体"/>
          <w:color w:val="auto"/>
          <w:kern w:val="0"/>
          <w:sz w:val="24"/>
        </w:rPr>
      </w:pPr>
      <w:r>
        <w:rPr>
          <w:rFonts w:ascii="宋体" w:hAnsi="宋体" w:cs="宋体"/>
          <w:color w:val="auto"/>
          <w:kern w:val="0"/>
          <w:sz w:val="24"/>
        </w:rPr>
        <w:t>附件7-1-1        </w:t>
      </w:r>
      <w:r>
        <w:rPr>
          <w:rFonts w:ascii="宋体" w:hAnsi="宋体" w:cs="宋体"/>
          <w:b/>
          <w:bCs/>
          <w:color w:val="auto"/>
          <w:kern w:val="0"/>
          <w:sz w:val="24"/>
        </w:rPr>
        <w:t>中小企业声明函（如果有的话）</w:t>
      </w:r>
    </w:p>
    <w:p w14:paraId="1519D960">
      <w:pPr>
        <w:widowControl/>
        <w:spacing w:before="75" w:after="75" w:line="315" w:lineRule="atLeast"/>
        <w:rPr>
          <w:rFonts w:ascii="宋体" w:hAnsi="宋体" w:cs="宋体"/>
          <w:color w:val="auto"/>
          <w:kern w:val="0"/>
          <w:sz w:val="24"/>
        </w:rPr>
      </w:pPr>
      <w:r>
        <w:rPr>
          <w:rFonts w:ascii="宋体" w:hAnsi="宋体" w:cs="宋体"/>
          <w:color w:val="auto"/>
          <w:kern w:val="0"/>
          <w:sz w:val="24"/>
        </w:rPr>
        <w:t> </w:t>
      </w:r>
    </w:p>
    <w:p w14:paraId="13516A99">
      <w:pPr>
        <w:widowControl/>
        <w:spacing w:before="75" w:after="75" w:line="315" w:lineRule="atLeast"/>
        <w:jc w:val="center"/>
        <w:rPr>
          <w:rFonts w:ascii="宋体" w:hAnsi="宋体" w:cs="宋体"/>
          <w:color w:val="auto"/>
          <w:kern w:val="0"/>
          <w:sz w:val="24"/>
        </w:rPr>
      </w:pPr>
      <w:r>
        <w:rPr>
          <w:rFonts w:hint="eastAsia" w:ascii="宋体" w:hAnsi="宋体" w:cs="宋体"/>
          <w:color w:val="auto"/>
          <w:kern w:val="0"/>
          <w:sz w:val="24"/>
        </w:rPr>
        <w:t>中小企业声明函（工程、服务）</w:t>
      </w:r>
    </w:p>
    <w:p w14:paraId="48973672">
      <w:pPr>
        <w:widowControl/>
        <w:spacing w:before="75" w:after="75" w:line="315" w:lineRule="atLeast"/>
        <w:rPr>
          <w:rFonts w:ascii="宋体" w:hAnsi="宋体" w:cs="宋体"/>
          <w:color w:val="auto"/>
          <w:kern w:val="0"/>
          <w:sz w:val="24"/>
        </w:rPr>
      </w:pPr>
      <w:r>
        <w:rPr>
          <w:rFonts w:hint="eastAsia" w:ascii="宋体" w:hAnsi="宋体" w:cs="宋体"/>
          <w:color w:val="auto"/>
          <w:kern w:val="0"/>
          <w:sz w:val="24"/>
        </w:rPr>
        <w:t xml:space="preserve">    本公司（联合体）郑重声明，根据《政府采购促进中小企业发展管理办法》（财库﹝2020﹞46 号）的规定，本公司（联合体）参加（单位名称）的（项目名称）采购活动，工程的施工单位全部为符合政策要求的中小企业（或者：服务全部由符合政策要求的中小企业承接）。相关企业（含联合体中的中小企业、签订分包意向协议的中小企业）的具体情况如下：</w:t>
      </w:r>
    </w:p>
    <w:p w14:paraId="4E1CDE57">
      <w:pPr>
        <w:widowControl/>
        <w:spacing w:before="75" w:after="75" w:line="315" w:lineRule="atLeast"/>
        <w:rPr>
          <w:rFonts w:ascii="宋体" w:hAnsi="宋体" w:cs="宋体"/>
          <w:color w:val="auto"/>
          <w:kern w:val="0"/>
          <w:sz w:val="24"/>
        </w:rPr>
      </w:pPr>
      <w:r>
        <w:rPr>
          <w:rFonts w:hint="eastAsia" w:ascii="宋体" w:hAnsi="宋体" w:cs="宋体"/>
          <w:color w:val="auto"/>
          <w:kern w:val="0"/>
          <w:sz w:val="24"/>
        </w:rPr>
        <w:t xml:space="preserve">       1. （标的名称），属于（采购文件中明确的所属行业）；承建（承接）企业为（企业名称），从业人员  </w:t>
      </w:r>
    </w:p>
    <w:p w14:paraId="607D899F">
      <w:pPr>
        <w:widowControl/>
        <w:spacing w:before="75" w:after="75" w:line="315" w:lineRule="atLeast"/>
        <w:rPr>
          <w:rFonts w:ascii="宋体" w:hAnsi="宋体" w:cs="宋体"/>
          <w:color w:val="auto"/>
          <w:kern w:val="0"/>
          <w:sz w:val="24"/>
        </w:rPr>
      </w:pPr>
      <w:r>
        <w:rPr>
          <w:rFonts w:hint="eastAsia" w:ascii="宋体" w:hAnsi="宋体" w:cs="宋体"/>
          <w:color w:val="auto"/>
          <w:kern w:val="0"/>
          <w:sz w:val="24"/>
        </w:rPr>
        <w:t>人，营业收入为  万元，资产总额为  万元，属于（中型企业、小型企业、微型企业）；</w:t>
      </w:r>
    </w:p>
    <w:p w14:paraId="71FFEBD5">
      <w:pPr>
        <w:widowControl/>
        <w:spacing w:before="75" w:after="75" w:line="315" w:lineRule="atLeast"/>
        <w:rPr>
          <w:rFonts w:ascii="宋体" w:hAnsi="宋体" w:cs="宋体"/>
          <w:color w:val="auto"/>
          <w:kern w:val="0"/>
          <w:sz w:val="24"/>
        </w:rPr>
      </w:pPr>
    </w:p>
    <w:p w14:paraId="7364ACC6">
      <w:pPr>
        <w:widowControl/>
        <w:spacing w:before="75" w:after="75" w:line="315" w:lineRule="atLeast"/>
        <w:rPr>
          <w:rFonts w:ascii="宋体" w:hAnsi="宋体" w:cs="宋体"/>
          <w:color w:val="auto"/>
          <w:kern w:val="0"/>
          <w:sz w:val="24"/>
        </w:rPr>
      </w:pPr>
      <w:r>
        <w:rPr>
          <w:rFonts w:hint="eastAsia" w:ascii="宋体" w:hAnsi="宋体" w:cs="宋体"/>
          <w:color w:val="auto"/>
          <w:kern w:val="0"/>
          <w:sz w:val="24"/>
        </w:rPr>
        <w:t xml:space="preserve">        2. （标的名称），属于（采购文件中明确的所属行业）；承建（承接）企业为（企业名称），从业人员  人，营业收入为  万元，资产总额为  万元，属于（中型企业、小型企业、微型企业）；</w:t>
      </w:r>
    </w:p>
    <w:p w14:paraId="26D42861">
      <w:pPr>
        <w:widowControl/>
        <w:spacing w:before="75" w:after="75" w:line="315" w:lineRule="atLeast"/>
        <w:rPr>
          <w:rFonts w:ascii="宋体" w:hAnsi="宋体" w:cs="宋体"/>
          <w:color w:val="auto"/>
          <w:kern w:val="0"/>
          <w:sz w:val="24"/>
        </w:rPr>
      </w:pPr>
    </w:p>
    <w:p w14:paraId="4021D3AC">
      <w:pPr>
        <w:widowControl/>
        <w:spacing w:before="75" w:after="75" w:line="315" w:lineRule="atLeast"/>
        <w:rPr>
          <w:rFonts w:ascii="宋体" w:hAnsi="宋体" w:cs="宋体"/>
          <w:color w:val="auto"/>
          <w:kern w:val="0"/>
          <w:sz w:val="24"/>
        </w:rPr>
      </w:pPr>
      <w:r>
        <w:rPr>
          <w:rFonts w:hint="eastAsia" w:ascii="宋体" w:hAnsi="宋体" w:cs="宋体"/>
          <w:color w:val="auto"/>
          <w:kern w:val="0"/>
          <w:sz w:val="24"/>
        </w:rPr>
        <w:t>……</w:t>
      </w:r>
    </w:p>
    <w:p w14:paraId="153EF668">
      <w:pPr>
        <w:widowControl/>
        <w:spacing w:before="75" w:after="75" w:line="315" w:lineRule="atLeast"/>
        <w:rPr>
          <w:rFonts w:ascii="宋体" w:hAnsi="宋体" w:cs="宋体"/>
          <w:color w:val="auto"/>
          <w:kern w:val="0"/>
          <w:sz w:val="24"/>
        </w:rPr>
      </w:pPr>
    </w:p>
    <w:p w14:paraId="09865804">
      <w:pPr>
        <w:widowControl/>
        <w:spacing w:before="75" w:after="75" w:line="315" w:lineRule="atLeast"/>
        <w:rPr>
          <w:rFonts w:ascii="宋体" w:hAnsi="宋体" w:cs="宋体"/>
          <w:color w:val="auto"/>
          <w:kern w:val="0"/>
          <w:sz w:val="24"/>
        </w:rPr>
      </w:pPr>
      <w:r>
        <w:rPr>
          <w:rFonts w:hint="eastAsia" w:ascii="宋体" w:hAnsi="宋体" w:cs="宋体"/>
          <w:color w:val="auto"/>
          <w:kern w:val="0"/>
          <w:sz w:val="24"/>
        </w:rPr>
        <w:t xml:space="preserve">      以上企业，不属于大企业的分支机构，不存在控股股东为大企业的情形，也不存在与大企业的负责人为同一人的情形。</w:t>
      </w:r>
    </w:p>
    <w:p w14:paraId="5C122734">
      <w:pPr>
        <w:widowControl/>
        <w:spacing w:before="75" w:after="75" w:line="315" w:lineRule="atLeast"/>
        <w:rPr>
          <w:rFonts w:ascii="宋体" w:hAnsi="宋体" w:cs="宋体"/>
          <w:color w:val="auto"/>
          <w:kern w:val="0"/>
          <w:sz w:val="24"/>
        </w:rPr>
      </w:pPr>
    </w:p>
    <w:p w14:paraId="1ACBD9B8">
      <w:pPr>
        <w:widowControl/>
        <w:spacing w:before="75" w:after="75" w:line="315" w:lineRule="atLeast"/>
        <w:rPr>
          <w:rFonts w:ascii="宋体" w:hAnsi="宋体" w:cs="宋体"/>
          <w:color w:val="auto"/>
          <w:kern w:val="0"/>
          <w:sz w:val="24"/>
        </w:rPr>
      </w:pPr>
      <w:r>
        <w:rPr>
          <w:rFonts w:hint="eastAsia" w:ascii="宋体" w:hAnsi="宋体" w:cs="宋体"/>
          <w:color w:val="auto"/>
          <w:kern w:val="0"/>
          <w:sz w:val="24"/>
        </w:rPr>
        <w:t xml:space="preserve">     本企业对上述声明内容的真实性负责。如有虚假，将依法承担相应责任。</w:t>
      </w:r>
    </w:p>
    <w:p w14:paraId="2AEB87CB">
      <w:pPr>
        <w:widowControl/>
        <w:spacing w:before="75" w:after="75" w:line="315" w:lineRule="atLeast"/>
        <w:rPr>
          <w:rFonts w:ascii="宋体" w:hAnsi="宋体" w:cs="宋体"/>
          <w:color w:val="auto"/>
          <w:kern w:val="0"/>
          <w:sz w:val="24"/>
        </w:rPr>
      </w:pPr>
    </w:p>
    <w:p w14:paraId="6904D49F">
      <w:pPr>
        <w:widowControl/>
        <w:spacing w:before="75" w:after="75" w:line="315" w:lineRule="atLeast"/>
        <w:rPr>
          <w:rFonts w:ascii="宋体" w:hAnsi="宋体" w:cs="宋体"/>
          <w:color w:val="auto"/>
          <w:kern w:val="0"/>
          <w:sz w:val="24"/>
        </w:rPr>
      </w:pPr>
      <w:r>
        <w:rPr>
          <w:rFonts w:hint="eastAsia" w:ascii="宋体" w:hAnsi="宋体" w:cs="宋体"/>
          <w:color w:val="auto"/>
          <w:kern w:val="0"/>
          <w:sz w:val="24"/>
        </w:rPr>
        <w:t xml:space="preserve">                                                                                                  企业名称（盖章）：                     </w:t>
      </w:r>
    </w:p>
    <w:p w14:paraId="12056673">
      <w:pPr>
        <w:widowControl/>
        <w:spacing w:before="75" w:after="75" w:line="315" w:lineRule="atLeast"/>
        <w:rPr>
          <w:rFonts w:ascii="宋体" w:hAnsi="宋体" w:cs="宋体"/>
          <w:color w:val="auto"/>
          <w:kern w:val="0"/>
          <w:sz w:val="24"/>
        </w:rPr>
      </w:pPr>
      <w:r>
        <w:rPr>
          <w:rFonts w:hint="eastAsia" w:ascii="宋体" w:hAnsi="宋体" w:cs="宋体"/>
          <w:color w:val="auto"/>
          <w:kern w:val="0"/>
          <w:sz w:val="24"/>
        </w:rPr>
        <w:t>日期：</w:t>
      </w:r>
    </w:p>
    <w:p w14:paraId="69A56B6C">
      <w:pPr>
        <w:widowControl/>
        <w:spacing w:before="75" w:after="75" w:line="315" w:lineRule="atLeast"/>
        <w:rPr>
          <w:rFonts w:ascii="宋体" w:hAnsi="宋体" w:cs="宋体"/>
          <w:color w:val="auto"/>
          <w:kern w:val="0"/>
          <w:sz w:val="24"/>
        </w:rPr>
      </w:pPr>
    </w:p>
    <w:p w14:paraId="2584FDD0">
      <w:pPr>
        <w:widowControl/>
        <w:spacing w:before="75" w:after="75" w:line="315" w:lineRule="atLeast"/>
        <w:rPr>
          <w:rFonts w:ascii="宋体" w:hAnsi="宋体" w:cs="宋体"/>
          <w:color w:val="auto"/>
          <w:kern w:val="0"/>
          <w:sz w:val="24"/>
        </w:rPr>
      </w:pPr>
      <w:r>
        <w:rPr>
          <w:rFonts w:hint="eastAsia" w:ascii="宋体" w:hAnsi="宋体" w:cs="宋体"/>
          <w:color w:val="auto"/>
          <w:kern w:val="0"/>
          <w:sz w:val="24"/>
        </w:rPr>
        <w:t xml:space="preserve">     1从业人员、营业收入、资产总额填报上一年度数据，无上一年度数据的新成立企业可不填报。</w:t>
      </w:r>
    </w:p>
    <w:p w14:paraId="490F0B94">
      <w:pPr>
        <w:widowControl/>
        <w:spacing w:before="75" w:after="75" w:line="315" w:lineRule="atLeast"/>
        <w:rPr>
          <w:rFonts w:ascii="宋体" w:hAnsi="宋体" w:cs="宋体"/>
          <w:color w:val="auto"/>
          <w:kern w:val="0"/>
          <w:sz w:val="24"/>
        </w:rPr>
      </w:pPr>
    </w:p>
    <w:p w14:paraId="5F75D99E">
      <w:pPr>
        <w:widowControl/>
        <w:spacing w:before="75" w:after="75"/>
        <w:jc w:val="center"/>
        <w:rPr>
          <w:rFonts w:ascii="宋体" w:hAnsi="宋体" w:cs="宋体"/>
          <w:color w:val="auto"/>
          <w:kern w:val="0"/>
          <w:sz w:val="24"/>
        </w:rPr>
      </w:pPr>
      <w:r>
        <w:rPr>
          <w:rFonts w:ascii="宋体" w:hAnsi="宋体" w:cs="宋体"/>
          <w:color w:val="auto"/>
          <w:kern w:val="0"/>
          <w:sz w:val="24"/>
        </w:rPr>
        <w:t> </w:t>
      </w:r>
    </w:p>
    <w:p w14:paraId="7EAED91C">
      <w:pPr>
        <w:widowControl/>
        <w:spacing w:before="75" w:after="75"/>
        <w:jc w:val="left"/>
        <w:rPr>
          <w:rFonts w:ascii="宋体" w:hAnsi="宋体" w:cs="宋体"/>
          <w:color w:val="auto"/>
          <w:kern w:val="0"/>
          <w:sz w:val="24"/>
        </w:rPr>
      </w:pPr>
      <w:r>
        <w:rPr>
          <w:rFonts w:ascii="宋体" w:hAnsi="宋体" w:cs="宋体"/>
          <w:color w:val="auto"/>
          <w:kern w:val="0"/>
          <w:sz w:val="24"/>
        </w:rPr>
        <w:t> </w:t>
      </w:r>
    </w:p>
    <w:p w14:paraId="69C6EA6C">
      <w:pPr>
        <w:widowControl/>
        <w:spacing w:before="75" w:after="75"/>
        <w:jc w:val="left"/>
        <w:rPr>
          <w:rFonts w:ascii="宋体" w:hAnsi="宋体" w:cs="宋体"/>
          <w:color w:val="auto"/>
          <w:kern w:val="0"/>
          <w:sz w:val="24"/>
        </w:rPr>
      </w:pPr>
      <w:r>
        <w:rPr>
          <w:rFonts w:ascii="宋体" w:hAnsi="宋体" w:cs="宋体"/>
          <w:color w:val="auto"/>
          <w:kern w:val="0"/>
          <w:sz w:val="24"/>
        </w:rPr>
        <w:br w:type="page"/>
      </w:r>
      <w:r>
        <w:rPr>
          <w:rFonts w:ascii="宋体" w:hAnsi="宋体" w:cs="宋体"/>
          <w:color w:val="auto"/>
          <w:kern w:val="0"/>
          <w:sz w:val="24"/>
        </w:rPr>
        <w:t>附件7-1-2</w:t>
      </w:r>
    </w:p>
    <w:p w14:paraId="1768FB3C">
      <w:pPr>
        <w:widowControl/>
        <w:spacing w:before="75" w:after="75"/>
        <w:jc w:val="center"/>
        <w:rPr>
          <w:rFonts w:ascii="宋体" w:hAnsi="宋体" w:cs="宋体"/>
          <w:color w:val="auto"/>
          <w:kern w:val="0"/>
          <w:sz w:val="24"/>
        </w:rPr>
      </w:pPr>
      <w:r>
        <w:rPr>
          <w:rFonts w:ascii="宋体" w:hAnsi="宋体" w:cs="宋体"/>
          <w:b/>
          <w:bCs/>
          <w:color w:val="auto"/>
          <w:kern w:val="0"/>
          <w:sz w:val="24"/>
        </w:rPr>
        <w:t>残疾人福利性单位声明函（如果有的话）</w:t>
      </w:r>
    </w:p>
    <w:p w14:paraId="60E2E944">
      <w:pPr>
        <w:widowControl/>
        <w:spacing w:before="75" w:after="75" w:line="435" w:lineRule="atLeast"/>
        <w:ind w:firstLine="420"/>
        <w:rPr>
          <w:rFonts w:ascii="宋体" w:hAnsi="宋体" w:cs="宋体"/>
          <w:color w:val="auto"/>
          <w:kern w:val="0"/>
          <w:sz w:val="24"/>
        </w:rPr>
      </w:pPr>
      <w:r>
        <w:rPr>
          <w:rFonts w:ascii="宋体" w:hAnsi="宋体" w:cs="宋体"/>
          <w:color w:val="auto"/>
          <w:kern w:val="0"/>
          <w:sz w:val="24"/>
        </w:rPr>
        <w:t>本供应商郑重声明，根据《财政部 民政部 中国残疾人联合会关于促进残疾人就业政府采购政策的通知》（财库[2017]141号）的规定，本供应商为符合条件的残疾人福利性单位，且本供应商参加贵单位的（填写“项目名称”）项目采购活动：</w:t>
      </w:r>
    </w:p>
    <w:p w14:paraId="3D409B17">
      <w:pPr>
        <w:widowControl/>
        <w:spacing w:before="75" w:after="75" w:line="435" w:lineRule="atLeast"/>
        <w:ind w:firstLine="420"/>
        <w:rPr>
          <w:rFonts w:ascii="宋体" w:hAnsi="宋体" w:cs="宋体"/>
          <w:color w:val="auto"/>
          <w:kern w:val="0"/>
          <w:sz w:val="24"/>
        </w:rPr>
      </w:pPr>
      <w:r>
        <w:rPr>
          <w:rFonts w:ascii="宋体" w:hAnsi="宋体" w:cs="宋体"/>
          <w:color w:val="auto"/>
          <w:kern w:val="0"/>
          <w:sz w:val="24"/>
        </w:rPr>
        <w:t>（ ）提供本供应商制造的（填写“所投合同包、品目号”）货物，</w:t>
      </w:r>
    </w:p>
    <w:p w14:paraId="33793D59">
      <w:pPr>
        <w:widowControl/>
        <w:spacing w:before="75" w:after="75" w:line="435" w:lineRule="atLeast"/>
        <w:ind w:firstLine="420"/>
        <w:rPr>
          <w:rFonts w:ascii="宋体" w:hAnsi="宋体" w:cs="宋体"/>
          <w:color w:val="auto"/>
          <w:kern w:val="0"/>
          <w:sz w:val="24"/>
        </w:rPr>
      </w:pPr>
      <w:r>
        <w:rPr>
          <w:rFonts w:ascii="宋体" w:hAnsi="宋体" w:cs="宋体"/>
          <w:color w:val="auto"/>
          <w:kern w:val="0"/>
          <w:sz w:val="24"/>
        </w:rPr>
        <w:t>（ ）由本供应商承担的（填写“所投合同包、品目号”）工程，</w:t>
      </w:r>
    </w:p>
    <w:p w14:paraId="12FD7A7C">
      <w:pPr>
        <w:widowControl/>
        <w:spacing w:before="75" w:after="75" w:line="435" w:lineRule="atLeast"/>
        <w:ind w:firstLine="420"/>
        <w:rPr>
          <w:rFonts w:ascii="宋体" w:hAnsi="宋体" w:cs="宋体"/>
          <w:color w:val="auto"/>
          <w:kern w:val="0"/>
          <w:sz w:val="24"/>
        </w:rPr>
      </w:pPr>
      <w:r>
        <w:rPr>
          <w:rFonts w:ascii="宋体" w:hAnsi="宋体" w:cs="宋体"/>
          <w:color w:val="auto"/>
          <w:kern w:val="0"/>
          <w:sz w:val="24"/>
        </w:rPr>
        <w:t>（ ）由本供应商提供的（填写“所投合同包、品目号”）服务；或</w:t>
      </w:r>
    </w:p>
    <w:p w14:paraId="35B5A609">
      <w:pPr>
        <w:widowControl/>
        <w:spacing w:before="75" w:after="75" w:line="435" w:lineRule="atLeast"/>
        <w:ind w:firstLine="420"/>
        <w:rPr>
          <w:rFonts w:ascii="宋体" w:hAnsi="宋体" w:cs="宋体"/>
          <w:color w:val="auto"/>
          <w:kern w:val="0"/>
          <w:sz w:val="24"/>
        </w:rPr>
      </w:pPr>
      <w:r>
        <w:rPr>
          <w:rFonts w:ascii="宋体" w:hAnsi="宋体" w:cs="宋体"/>
          <w:color w:val="auto"/>
          <w:kern w:val="0"/>
          <w:sz w:val="24"/>
        </w:rPr>
        <w:t>（ ）提供其他残疾人福利性单位制造的（填写“所投合同包、品目号”）货物（不包括使用非残疾人福利性单位注册商标的货物）。</w:t>
      </w:r>
    </w:p>
    <w:p w14:paraId="78B1A729">
      <w:pPr>
        <w:widowControl/>
        <w:spacing w:before="75" w:after="75" w:line="435" w:lineRule="atLeast"/>
        <w:ind w:firstLine="420"/>
        <w:rPr>
          <w:rFonts w:ascii="宋体" w:hAnsi="宋体" w:cs="宋体"/>
          <w:color w:val="auto"/>
          <w:kern w:val="0"/>
          <w:sz w:val="24"/>
        </w:rPr>
      </w:pPr>
      <w:r>
        <w:rPr>
          <w:rFonts w:ascii="宋体" w:hAnsi="宋体" w:cs="宋体"/>
          <w:color w:val="auto"/>
          <w:kern w:val="0"/>
          <w:sz w:val="24"/>
        </w:rPr>
        <w:t>本供应商对上述声明的真实性负责。如有虚假，将依法承担相应责任。</w:t>
      </w:r>
    </w:p>
    <w:p w14:paraId="38A31B7F">
      <w:pPr>
        <w:widowControl/>
        <w:spacing w:before="75" w:after="75" w:line="435" w:lineRule="atLeast"/>
        <w:rPr>
          <w:rFonts w:ascii="宋体" w:hAnsi="宋体" w:cs="宋体"/>
          <w:color w:val="auto"/>
          <w:kern w:val="0"/>
          <w:sz w:val="24"/>
        </w:rPr>
      </w:pPr>
      <w:r>
        <w:rPr>
          <w:rFonts w:ascii="宋体" w:hAnsi="宋体" w:cs="宋体"/>
          <w:color w:val="auto"/>
          <w:kern w:val="0"/>
          <w:sz w:val="24"/>
        </w:rPr>
        <w:t>供应商代表：             （签字） </w:t>
      </w:r>
    </w:p>
    <w:p w14:paraId="6CB77000">
      <w:pPr>
        <w:widowControl/>
        <w:spacing w:before="75" w:after="75" w:line="435" w:lineRule="atLeast"/>
        <w:rPr>
          <w:rFonts w:ascii="宋体" w:hAnsi="宋体" w:cs="宋体"/>
          <w:color w:val="auto"/>
          <w:kern w:val="0"/>
          <w:sz w:val="24"/>
        </w:rPr>
      </w:pPr>
      <w:r>
        <w:rPr>
          <w:rFonts w:ascii="宋体" w:hAnsi="宋体" w:cs="宋体"/>
          <w:color w:val="auto"/>
          <w:kern w:val="0"/>
          <w:sz w:val="24"/>
        </w:rPr>
        <w:t>供应商名称：     （全称并加盖公章）              </w:t>
      </w:r>
    </w:p>
    <w:p w14:paraId="55C00896">
      <w:pPr>
        <w:widowControl/>
        <w:spacing w:before="75" w:after="75" w:line="435" w:lineRule="atLeast"/>
        <w:rPr>
          <w:rFonts w:ascii="宋体" w:hAnsi="宋体" w:cs="宋体"/>
          <w:color w:val="auto"/>
          <w:kern w:val="0"/>
          <w:sz w:val="24"/>
        </w:rPr>
      </w:pPr>
      <w:r>
        <w:rPr>
          <w:rFonts w:ascii="宋体" w:hAnsi="宋体" w:cs="宋体"/>
          <w:color w:val="auto"/>
          <w:kern w:val="0"/>
          <w:sz w:val="24"/>
        </w:rPr>
        <w:t>日  期：     年    月    日</w:t>
      </w:r>
    </w:p>
    <w:p w14:paraId="41ADBBE9">
      <w:pPr>
        <w:widowControl/>
        <w:spacing w:before="75" w:after="75" w:line="420" w:lineRule="atLeast"/>
        <w:ind w:firstLine="480"/>
        <w:jc w:val="left"/>
        <w:rPr>
          <w:rFonts w:ascii="宋体" w:hAnsi="宋体" w:cs="宋体"/>
          <w:color w:val="auto"/>
          <w:kern w:val="0"/>
          <w:sz w:val="24"/>
        </w:rPr>
      </w:pPr>
      <w:r>
        <w:rPr>
          <w:rFonts w:ascii="宋体" w:hAnsi="宋体" w:cs="宋体"/>
          <w:color w:val="auto"/>
          <w:kern w:val="0"/>
          <w:szCs w:val="21"/>
        </w:rPr>
        <w:t>备注：（1）若供应商不符合残疾人福利性单位，不用提供本声明函，否则视为提供虚假材料。供应商在提交最后报价时，如果没有同时向谈判小组提交上述声明函，视同为供应商不符合残疾人福利性单位，不享受价格扣除的优惠政策。</w:t>
      </w:r>
    </w:p>
    <w:p w14:paraId="13141CDB">
      <w:pPr>
        <w:widowControl/>
        <w:spacing w:before="75" w:after="75" w:line="420" w:lineRule="atLeast"/>
        <w:ind w:firstLine="480"/>
        <w:jc w:val="left"/>
        <w:rPr>
          <w:rFonts w:ascii="宋体" w:hAnsi="宋体" w:cs="宋体"/>
          <w:color w:val="auto"/>
          <w:kern w:val="0"/>
          <w:sz w:val="24"/>
        </w:rPr>
      </w:pPr>
      <w:r>
        <w:rPr>
          <w:rFonts w:ascii="宋体" w:hAnsi="宋体" w:cs="宋体"/>
          <w:color w:val="auto"/>
          <w:kern w:val="0"/>
          <w:szCs w:val="21"/>
        </w:rPr>
        <w:t>（2）请供应商按照实际情况编制填写本声明函，并在相应的（）中打“√”。</w:t>
      </w:r>
    </w:p>
    <w:p w14:paraId="56D79A46">
      <w:pPr>
        <w:widowControl/>
        <w:spacing w:before="75" w:after="75" w:line="420" w:lineRule="atLeast"/>
        <w:ind w:firstLine="480"/>
        <w:jc w:val="left"/>
        <w:rPr>
          <w:rFonts w:ascii="宋体" w:hAnsi="宋体" w:cs="宋体"/>
          <w:color w:val="auto"/>
          <w:kern w:val="0"/>
          <w:sz w:val="24"/>
        </w:rPr>
      </w:pPr>
      <w:r>
        <w:rPr>
          <w:rFonts w:ascii="宋体" w:hAnsi="宋体" w:cs="宋体"/>
          <w:color w:val="auto"/>
          <w:kern w:val="0"/>
          <w:szCs w:val="21"/>
        </w:rPr>
        <w:t>（3）纸质响应文件正本中的本声明函（若有）应为原件。</w:t>
      </w:r>
    </w:p>
    <w:p w14:paraId="7068DE29">
      <w:pPr>
        <w:widowControl/>
        <w:spacing w:before="75" w:after="75" w:line="420" w:lineRule="atLeast"/>
        <w:ind w:firstLine="480"/>
        <w:jc w:val="left"/>
        <w:rPr>
          <w:rFonts w:ascii="宋体" w:hAnsi="宋体" w:cs="宋体"/>
          <w:color w:val="auto"/>
          <w:kern w:val="0"/>
          <w:sz w:val="24"/>
        </w:rPr>
      </w:pPr>
      <w:r>
        <w:rPr>
          <w:rFonts w:ascii="宋体" w:hAnsi="宋体" w:cs="宋体"/>
          <w:color w:val="auto"/>
          <w:kern w:val="0"/>
          <w:szCs w:val="21"/>
        </w:rPr>
        <w:t>（4）若《残疾人福利性单位声明函》内容不真实，视为提供虚假材料。</w:t>
      </w:r>
    </w:p>
    <w:p w14:paraId="2C61157A">
      <w:pPr>
        <w:widowControl/>
        <w:spacing w:before="75" w:after="75"/>
        <w:jc w:val="center"/>
        <w:rPr>
          <w:rFonts w:ascii="宋体" w:hAnsi="宋体" w:cs="宋体"/>
          <w:color w:val="auto"/>
          <w:kern w:val="0"/>
          <w:sz w:val="24"/>
        </w:rPr>
      </w:pPr>
      <w:r>
        <w:rPr>
          <w:rFonts w:ascii="宋体" w:hAnsi="宋体" w:cs="宋体"/>
          <w:color w:val="auto"/>
          <w:kern w:val="0"/>
          <w:sz w:val="24"/>
        </w:rPr>
        <w:br w:type="textWrapping"/>
      </w:r>
      <w:r>
        <w:rPr>
          <w:rFonts w:ascii="宋体" w:hAnsi="宋体" w:cs="宋体"/>
          <w:color w:val="auto"/>
          <w:kern w:val="0"/>
          <w:sz w:val="24"/>
        </w:rPr>
        <w:t>附件7-2</w:t>
      </w:r>
      <w:r>
        <w:rPr>
          <w:rFonts w:ascii="宋体" w:hAnsi="宋体" w:cs="宋体"/>
          <w:b/>
          <w:bCs/>
          <w:color w:val="auto"/>
          <w:kern w:val="0"/>
          <w:sz w:val="24"/>
        </w:rPr>
        <w:t>优先类节能产品、环境标志产品价格扣除证明材料（如果有的话）</w:t>
      </w:r>
    </w:p>
    <w:p w14:paraId="44C66445">
      <w:pPr>
        <w:widowControl/>
        <w:spacing w:before="75" w:after="75"/>
        <w:rPr>
          <w:rFonts w:ascii="宋体" w:hAnsi="宋体" w:cs="宋体"/>
          <w:color w:val="auto"/>
          <w:kern w:val="0"/>
          <w:sz w:val="24"/>
        </w:rPr>
      </w:pPr>
      <w:r>
        <w:rPr>
          <w:rFonts w:ascii="宋体" w:hAnsi="宋体" w:cs="宋体"/>
          <w:color w:val="auto"/>
          <w:kern w:val="0"/>
          <w:sz w:val="24"/>
        </w:rPr>
        <w:t>              </w:t>
      </w:r>
    </w:p>
    <w:tbl>
      <w:tblPr>
        <w:tblStyle w:val="14"/>
        <w:tblW w:w="8520" w:type="dxa"/>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1224"/>
        <w:gridCol w:w="1211"/>
        <w:gridCol w:w="1207"/>
        <w:gridCol w:w="1217"/>
        <w:gridCol w:w="1207"/>
        <w:gridCol w:w="1217"/>
        <w:gridCol w:w="1237"/>
      </w:tblGrid>
      <w:tr w14:paraId="6F41B0A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179" w:type="dxa"/>
            <w:tcBorders>
              <w:top w:val="outset" w:color="auto" w:sz="6" w:space="0"/>
              <w:left w:val="outset" w:color="auto" w:sz="6" w:space="0"/>
              <w:bottom w:val="outset" w:color="auto" w:sz="6" w:space="0"/>
              <w:right w:val="outset" w:color="auto" w:sz="6" w:space="0"/>
            </w:tcBorders>
            <w:tcMar>
              <w:top w:w="0" w:type="dxa"/>
              <w:left w:w="105" w:type="dxa"/>
              <w:bottom w:w="0" w:type="dxa"/>
              <w:right w:w="105" w:type="dxa"/>
            </w:tcMar>
            <w:vAlign w:val="center"/>
          </w:tcPr>
          <w:p w14:paraId="4283ECD3">
            <w:pPr>
              <w:widowControl/>
              <w:jc w:val="left"/>
              <w:rPr>
                <w:rFonts w:ascii="宋体" w:hAnsi="宋体" w:cs="宋体"/>
                <w:color w:val="auto"/>
                <w:kern w:val="0"/>
                <w:sz w:val="24"/>
              </w:rPr>
            </w:pPr>
          </w:p>
        </w:tc>
        <w:tc>
          <w:tcPr>
            <w:tcW w:w="7251" w:type="dxa"/>
            <w:gridSpan w:val="6"/>
            <w:tcBorders>
              <w:top w:val="outset" w:color="auto" w:sz="6" w:space="0"/>
              <w:left w:val="single" w:color="auto" w:sz="0" w:space="0"/>
              <w:bottom w:val="outset" w:color="auto" w:sz="6" w:space="0"/>
              <w:right w:val="outset" w:color="auto" w:sz="6" w:space="0"/>
            </w:tcBorders>
            <w:tcMar>
              <w:top w:w="0" w:type="dxa"/>
              <w:left w:w="105" w:type="dxa"/>
              <w:bottom w:w="0" w:type="dxa"/>
              <w:right w:w="105" w:type="dxa"/>
            </w:tcMar>
            <w:vAlign w:val="center"/>
          </w:tcPr>
          <w:p w14:paraId="1BF0FEAE">
            <w:pPr>
              <w:widowControl/>
              <w:jc w:val="center"/>
              <w:rPr>
                <w:rFonts w:ascii="宋体" w:hAnsi="宋体" w:cs="宋体"/>
                <w:color w:val="auto"/>
                <w:kern w:val="0"/>
                <w:sz w:val="24"/>
              </w:rPr>
            </w:pPr>
            <w:r>
              <w:rPr>
                <w:rFonts w:ascii="宋体" w:hAnsi="宋体" w:cs="宋体"/>
                <w:color w:val="auto"/>
                <w:kern w:val="0"/>
                <w:szCs w:val="21"/>
              </w:rPr>
              <w:t>本合同包内属于节能、环境标志产品的情况</w:t>
            </w:r>
          </w:p>
        </w:tc>
      </w:tr>
      <w:tr w14:paraId="069AF90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179" w:type="dxa"/>
            <w:tcBorders>
              <w:top w:val="single" w:color="auto" w:sz="0" w:space="0"/>
              <w:left w:val="outset" w:color="auto" w:sz="6" w:space="0"/>
              <w:bottom w:val="outset" w:color="auto" w:sz="6" w:space="0"/>
              <w:right w:val="outset" w:color="auto" w:sz="6" w:space="0"/>
            </w:tcBorders>
            <w:tcMar>
              <w:top w:w="0" w:type="dxa"/>
              <w:left w:w="105" w:type="dxa"/>
              <w:bottom w:w="0" w:type="dxa"/>
              <w:right w:w="105" w:type="dxa"/>
            </w:tcMar>
            <w:vAlign w:val="center"/>
          </w:tcPr>
          <w:p w14:paraId="071B7AD7">
            <w:pPr>
              <w:widowControl/>
              <w:jc w:val="center"/>
              <w:rPr>
                <w:rFonts w:ascii="宋体" w:hAnsi="宋体" w:cs="宋体"/>
                <w:color w:val="auto"/>
                <w:kern w:val="0"/>
                <w:sz w:val="24"/>
              </w:rPr>
            </w:pPr>
            <w:r>
              <w:rPr>
                <w:rFonts w:ascii="宋体" w:hAnsi="宋体" w:cs="宋体"/>
                <w:color w:val="auto"/>
                <w:kern w:val="0"/>
                <w:szCs w:val="21"/>
              </w:rPr>
              <w:t>合同包</w:t>
            </w:r>
          </w:p>
        </w:tc>
        <w:tc>
          <w:tcPr>
            <w:tcW w:w="1181"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14:paraId="0FE2DB3E">
            <w:pPr>
              <w:widowControl/>
              <w:jc w:val="center"/>
              <w:rPr>
                <w:rFonts w:ascii="宋体" w:hAnsi="宋体" w:cs="宋体"/>
                <w:color w:val="auto"/>
                <w:kern w:val="0"/>
                <w:sz w:val="24"/>
              </w:rPr>
            </w:pPr>
            <w:r>
              <w:rPr>
                <w:rFonts w:ascii="宋体" w:hAnsi="宋体" w:cs="宋体"/>
                <w:color w:val="auto"/>
                <w:kern w:val="0"/>
                <w:szCs w:val="21"/>
              </w:rPr>
              <w:t>品目号</w:t>
            </w:r>
          </w:p>
        </w:tc>
        <w:tc>
          <w:tcPr>
            <w:tcW w:w="1177" w:type="dxa"/>
            <w:tcBorders>
              <w:top w:val="outset" w:color="auto" w:sz="6" w:space="0"/>
              <w:left w:val="single" w:color="auto" w:sz="0" w:space="0"/>
              <w:bottom w:val="outset" w:color="auto" w:sz="6" w:space="0"/>
              <w:right w:val="outset" w:color="auto" w:sz="6" w:space="0"/>
            </w:tcBorders>
            <w:tcMar>
              <w:top w:w="0" w:type="dxa"/>
              <w:left w:w="105" w:type="dxa"/>
              <w:bottom w:w="0" w:type="dxa"/>
              <w:right w:w="105" w:type="dxa"/>
            </w:tcMar>
            <w:vAlign w:val="center"/>
          </w:tcPr>
          <w:p w14:paraId="34E505DC">
            <w:pPr>
              <w:widowControl/>
              <w:jc w:val="center"/>
              <w:rPr>
                <w:rFonts w:ascii="宋体" w:hAnsi="宋体" w:cs="宋体"/>
                <w:color w:val="auto"/>
                <w:kern w:val="0"/>
                <w:sz w:val="24"/>
              </w:rPr>
            </w:pPr>
            <w:r>
              <w:rPr>
                <w:rFonts w:ascii="宋体" w:hAnsi="宋体" w:cs="宋体"/>
                <w:color w:val="auto"/>
                <w:kern w:val="0"/>
                <w:szCs w:val="21"/>
              </w:rPr>
              <w:t>产品名称</w:t>
            </w:r>
          </w:p>
        </w:tc>
        <w:tc>
          <w:tcPr>
            <w:tcW w:w="1187" w:type="dxa"/>
            <w:tcBorders>
              <w:top w:val="outset" w:color="auto" w:sz="6" w:space="0"/>
              <w:left w:val="single" w:color="auto" w:sz="0" w:space="0"/>
              <w:bottom w:val="outset" w:color="auto" w:sz="6" w:space="0"/>
              <w:right w:val="outset" w:color="auto" w:sz="6" w:space="0"/>
            </w:tcBorders>
            <w:tcMar>
              <w:top w:w="0" w:type="dxa"/>
              <w:left w:w="105" w:type="dxa"/>
              <w:bottom w:w="0" w:type="dxa"/>
              <w:right w:w="105" w:type="dxa"/>
            </w:tcMar>
            <w:vAlign w:val="center"/>
          </w:tcPr>
          <w:p w14:paraId="567F7FE4">
            <w:pPr>
              <w:widowControl/>
              <w:jc w:val="center"/>
              <w:rPr>
                <w:rFonts w:ascii="宋体" w:hAnsi="宋体" w:cs="宋体"/>
                <w:color w:val="auto"/>
                <w:kern w:val="0"/>
                <w:sz w:val="24"/>
              </w:rPr>
            </w:pPr>
            <w:r>
              <w:rPr>
                <w:rFonts w:ascii="宋体" w:hAnsi="宋体" w:cs="宋体"/>
                <w:color w:val="auto"/>
                <w:kern w:val="0"/>
                <w:szCs w:val="21"/>
              </w:rPr>
              <w:t>最后报价单价</w:t>
            </w:r>
          </w:p>
          <w:p w14:paraId="3D0FB214">
            <w:pPr>
              <w:widowControl/>
              <w:jc w:val="center"/>
              <w:rPr>
                <w:rFonts w:ascii="宋体" w:hAnsi="宋体" w:cs="宋体"/>
                <w:color w:val="auto"/>
                <w:kern w:val="0"/>
                <w:sz w:val="24"/>
              </w:rPr>
            </w:pPr>
            <w:r>
              <w:rPr>
                <w:rFonts w:ascii="宋体" w:hAnsi="宋体" w:cs="宋体"/>
                <w:color w:val="auto"/>
                <w:kern w:val="0"/>
                <w:szCs w:val="21"/>
              </w:rPr>
              <w:t>（现场）</w:t>
            </w:r>
          </w:p>
        </w:tc>
        <w:tc>
          <w:tcPr>
            <w:tcW w:w="1177" w:type="dxa"/>
            <w:tcBorders>
              <w:top w:val="outset" w:color="auto" w:sz="6" w:space="0"/>
              <w:left w:val="single" w:color="auto" w:sz="0" w:space="0"/>
              <w:bottom w:val="outset" w:color="auto" w:sz="6" w:space="0"/>
              <w:right w:val="outset" w:color="auto" w:sz="6" w:space="0"/>
            </w:tcBorders>
            <w:tcMar>
              <w:top w:w="0" w:type="dxa"/>
              <w:left w:w="105" w:type="dxa"/>
              <w:bottom w:w="0" w:type="dxa"/>
              <w:right w:w="105" w:type="dxa"/>
            </w:tcMar>
            <w:vAlign w:val="center"/>
          </w:tcPr>
          <w:p w14:paraId="168934B9">
            <w:pPr>
              <w:widowControl/>
              <w:jc w:val="center"/>
              <w:rPr>
                <w:rFonts w:ascii="宋体" w:hAnsi="宋体" w:cs="宋体"/>
                <w:color w:val="auto"/>
                <w:kern w:val="0"/>
                <w:sz w:val="24"/>
              </w:rPr>
            </w:pPr>
            <w:r>
              <w:rPr>
                <w:rFonts w:ascii="宋体" w:hAnsi="宋体" w:cs="宋体"/>
                <w:color w:val="auto"/>
                <w:kern w:val="0"/>
                <w:szCs w:val="21"/>
              </w:rPr>
              <w:t>数量</w:t>
            </w:r>
          </w:p>
        </w:tc>
        <w:tc>
          <w:tcPr>
            <w:tcW w:w="1187" w:type="dxa"/>
            <w:tcBorders>
              <w:top w:val="outset" w:color="auto" w:sz="6" w:space="0"/>
              <w:left w:val="single" w:color="auto" w:sz="0" w:space="0"/>
              <w:bottom w:val="outset" w:color="auto" w:sz="6" w:space="0"/>
              <w:right w:val="outset" w:color="auto" w:sz="6" w:space="0"/>
            </w:tcBorders>
            <w:tcMar>
              <w:top w:w="0" w:type="dxa"/>
              <w:left w:w="105" w:type="dxa"/>
              <w:bottom w:w="0" w:type="dxa"/>
              <w:right w:w="105" w:type="dxa"/>
            </w:tcMar>
            <w:vAlign w:val="center"/>
          </w:tcPr>
          <w:p w14:paraId="112D936E">
            <w:pPr>
              <w:widowControl/>
              <w:jc w:val="center"/>
              <w:rPr>
                <w:rFonts w:ascii="宋体" w:hAnsi="宋体" w:cs="宋体"/>
                <w:color w:val="auto"/>
                <w:kern w:val="0"/>
                <w:sz w:val="24"/>
              </w:rPr>
            </w:pPr>
            <w:r>
              <w:rPr>
                <w:rFonts w:ascii="宋体" w:hAnsi="宋体" w:cs="宋体"/>
                <w:color w:val="auto"/>
                <w:kern w:val="0"/>
                <w:szCs w:val="21"/>
              </w:rPr>
              <w:t>最后报价总价</w:t>
            </w:r>
          </w:p>
          <w:p w14:paraId="4073A6E7">
            <w:pPr>
              <w:widowControl/>
              <w:jc w:val="center"/>
              <w:rPr>
                <w:rFonts w:ascii="宋体" w:hAnsi="宋体" w:cs="宋体"/>
                <w:color w:val="auto"/>
                <w:kern w:val="0"/>
                <w:sz w:val="24"/>
              </w:rPr>
            </w:pPr>
            <w:r>
              <w:rPr>
                <w:rFonts w:ascii="宋体" w:hAnsi="宋体" w:cs="宋体"/>
                <w:color w:val="auto"/>
                <w:kern w:val="0"/>
                <w:szCs w:val="21"/>
              </w:rPr>
              <w:t>（现场）</w:t>
            </w:r>
          </w:p>
        </w:tc>
        <w:tc>
          <w:tcPr>
            <w:tcW w:w="1192" w:type="dxa"/>
            <w:tcBorders>
              <w:top w:val="outset" w:color="auto" w:sz="6" w:space="0"/>
              <w:left w:val="single" w:color="auto" w:sz="0" w:space="0"/>
              <w:bottom w:val="outset" w:color="auto" w:sz="6" w:space="0"/>
              <w:right w:val="outset" w:color="auto" w:sz="6" w:space="0"/>
            </w:tcBorders>
            <w:tcMar>
              <w:top w:w="0" w:type="dxa"/>
              <w:left w:w="105" w:type="dxa"/>
              <w:bottom w:w="0" w:type="dxa"/>
              <w:right w:w="105" w:type="dxa"/>
            </w:tcMar>
            <w:vAlign w:val="center"/>
          </w:tcPr>
          <w:p w14:paraId="196E6227">
            <w:pPr>
              <w:widowControl/>
              <w:jc w:val="center"/>
              <w:rPr>
                <w:rFonts w:ascii="宋体" w:hAnsi="宋体" w:cs="宋体"/>
                <w:color w:val="auto"/>
                <w:kern w:val="0"/>
                <w:sz w:val="24"/>
              </w:rPr>
            </w:pPr>
            <w:r>
              <w:rPr>
                <w:rFonts w:ascii="宋体" w:hAnsi="宋体" w:cs="宋体"/>
                <w:color w:val="auto"/>
                <w:kern w:val="0"/>
                <w:szCs w:val="21"/>
              </w:rPr>
              <w:t>认证种类</w:t>
            </w:r>
          </w:p>
        </w:tc>
      </w:tr>
      <w:tr w14:paraId="6C52A85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179" w:type="dxa"/>
            <w:vMerge w:val="restart"/>
            <w:tcBorders>
              <w:top w:val="single" w:color="auto" w:sz="0" w:space="0"/>
              <w:left w:val="outset" w:color="auto" w:sz="6" w:space="0"/>
              <w:bottom w:val="outset" w:color="auto" w:sz="6" w:space="0"/>
              <w:right w:val="outset" w:color="auto" w:sz="6" w:space="0"/>
            </w:tcBorders>
            <w:tcMar>
              <w:top w:w="0" w:type="dxa"/>
              <w:left w:w="105" w:type="dxa"/>
              <w:bottom w:w="0" w:type="dxa"/>
              <w:right w:w="105" w:type="dxa"/>
            </w:tcMar>
            <w:vAlign w:val="center"/>
          </w:tcPr>
          <w:p w14:paraId="18811940">
            <w:pPr>
              <w:widowControl/>
              <w:jc w:val="center"/>
              <w:rPr>
                <w:rFonts w:ascii="宋体" w:hAnsi="宋体" w:cs="宋体"/>
                <w:color w:val="auto"/>
                <w:kern w:val="0"/>
                <w:sz w:val="24"/>
              </w:rPr>
            </w:pPr>
            <w:r>
              <w:rPr>
                <w:rFonts w:ascii="宋体" w:hAnsi="宋体" w:cs="宋体"/>
                <w:color w:val="auto"/>
                <w:kern w:val="0"/>
                <w:szCs w:val="21"/>
              </w:rPr>
              <w:t>*</w:t>
            </w:r>
          </w:p>
        </w:tc>
        <w:tc>
          <w:tcPr>
            <w:tcW w:w="1181"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14:paraId="1ACDE3EE">
            <w:pPr>
              <w:widowControl/>
              <w:jc w:val="center"/>
              <w:rPr>
                <w:rFonts w:ascii="宋体" w:hAnsi="宋体" w:cs="宋体"/>
                <w:color w:val="auto"/>
                <w:kern w:val="0"/>
                <w:sz w:val="24"/>
              </w:rPr>
            </w:pPr>
            <w:r>
              <w:rPr>
                <w:rFonts w:ascii="宋体" w:hAnsi="宋体" w:cs="宋体"/>
                <w:color w:val="auto"/>
                <w:kern w:val="0"/>
                <w:szCs w:val="21"/>
              </w:rPr>
              <w:t>*-1</w:t>
            </w:r>
          </w:p>
        </w:tc>
        <w:tc>
          <w:tcPr>
            <w:tcW w:w="1177"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14:paraId="087A2491">
            <w:pPr>
              <w:widowControl/>
              <w:jc w:val="left"/>
              <w:rPr>
                <w:rFonts w:ascii="宋体" w:hAnsi="宋体" w:cs="宋体"/>
                <w:color w:val="auto"/>
                <w:kern w:val="0"/>
                <w:sz w:val="24"/>
              </w:rPr>
            </w:pPr>
          </w:p>
        </w:tc>
        <w:tc>
          <w:tcPr>
            <w:tcW w:w="1187"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14:paraId="6F9D2ABE">
            <w:pPr>
              <w:widowControl/>
              <w:jc w:val="left"/>
              <w:rPr>
                <w:rFonts w:ascii="宋体" w:hAnsi="宋体" w:cs="宋体"/>
                <w:color w:val="auto"/>
                <w:kern w:val="0"/>
                <w:sz w:val="24"/>
              </w:rPr>
            </w:pPr>
          </w:p>
        </w:tc>
        <w:tc>
          <w:tcPr>
            <w:tcW w:w="1177"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14:paraId="5B287DE1">
            <w:pPr>
              <w:widowControl/>
              <w:jc w:val="left"/>
              <w:rPr>
                <w:rFonts w:ascii="宋体" w:hAnsi="宋体" w:cs="宋体"/>
                <w:color w:val="auto"/>
                <w:kern w:val="0"/>
                <w:sz w:val="24"/>
              </w:rPr>
            </w:pPr>
          </w:p>
        </w:tc>
        <w:tc>
          <w:tcPr>
            <w:tcW w:w="1187"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14:paraId="6BB5E6AB">
            <w:pPr>
              <w:widowControl/>
              <w:jc w:val="left"/>
              <w:rPr>
                <w:rFonts w:ascii="宋体" w:hAnsi="宋体" w:cs="宋体"/>
                <w:color w:val="auto"/>
                <w:kern w:val="0"/>
                <w:sz w:val="24"/>
              </w:rPr>
            </w:pPr>
          </w:p>
        </w:tc>
        <w:tc>
          <w:tcPr>
            <w:tcW w:w="1192"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14:paraId="0C142A24">
            <w:pPr>
              <w:widowControl/>
              <w:jc w:val="left"/>
              <w:rPr>
                <w:rFonts w:ascii="宋体" w:hAnsi="宋体" w:cs="宋体"/>
                <w:color w:val="auto"/>
                <w:kern w:val="0"/>
                <w:sz w:val="24"/>
              </w:rPr>
            </w:pPr>
          </w:p>
        </w:tc>
      </w:tr>
      <w:tr w14:paraId="2EDDC84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179" w:type="dxa"/>
            <w:vMerge w:val="continue"/>
            <w:tcBorders>
              <w:top w:val="single" w:color="auto" w:sz="0" w:space="0"/>
              <w:left w:val="outset" w:color="auto" w:sz="6" w:space="0"/>
              <w:bottom w:val="outset" w:color="auto" w:sz="6" w:space="0"/>
              <w:right w:val="outset" w:color="auto" w:sz="6" w:space="0"/>
            </w:tcBorders>
            <w:vAlign w:val="center"/>
          </w:tcPr>
          <w:p w14:paraId="465BAF11">
            <w:pPr>
              <w:widowControl/>
              <w:jc w:val="left"/>
              <w:rPr>
                <w:rFonts w:ascii="宋体" w:hAnsi="宋体" w:cs="宋体"/>
                <w:color w:val="auto"/>
                <w:kern w:val="0"/>
                <w:sz w:val="24"/>
              </w:rPr>
            </w:pPr>
          </w:p>
        </w:tc>
        <w:tc>
          <w:tcPr>
            <w:tcW w:w="1181"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14:paraId="6470819A">
            <w:pPr>
              <w:widowControl/>
              <w:jc w:val="center"/>
              <w:rPr>
                <w:rFonts w:ascii="宋体" w:hAnsi="宋体" w:cs="宋体"/>
                <w:color w:val="auto"/>
                <w:kern w:val="0"/>
                <w:sz w:val="24"/>
              </w:rPr>
            </w:pPr>
            <w:r>
              <w:rPr>
                <w:rFonts w:ascii="Calibri" w:hAnsi="Calibri" w:cs="宋体"/>
                <w:color w:val="auto"/>
                <w:kern w:val="0"/>
                <w:szCs w:val="21"/>
              </w:rPr>
              <w:t>…</w:t>
            </w:r>
          </w:p>
        </w:tc>
        <w:tc>
          <w:tcPr>
            <w:tcW w:w="1177"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14:paraId="56265112">
            <w:pPr>
              <w:widowControl/>
              <w:jc w:val="left"/>
              <w:rPr>
                <w:rFonts w:ascii="宋体" w:hAnsi="宋体" w:cs="宋体"/>
                <w:color w:val="auto"/>
                <w:kern w:val="0"/>
                <w:sz w:val="24"/>
              </w:rPr>
            </w:pPr>
          </w:p>
        </w:tc>
        <w:tc>
          <w:tcPr>
            <w:tcW w:w="1187"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14:paraId="7D406688">
            <w:pPr>
              <w:widowControl/>
              <w:jc w:val="left"/>
              <w:rPr>
                <w:rFonts w:ascii="宋体" w:hAnsi="宋体" w:cs="宋体"/>
                <w:color w:val="auto"/>
                <w:kern w:val="0"/>
                <w:sz w:val="24"/>
              </w:rPr>
            </w:pPr>
          </w:p>
        </w:tc>
        <w:tc>
          <w:tcPr>
            <w:tcW w:w="1177"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14:paraId="1943D2EE">
            <w:pPr>
              <w:widowControl/>
              <w:jc w:val="left"/>
              <w:rPr>
                <w:rFonts w:ascii="宋体" w:hAnsi="宋体" w:cs="宋体"/>
                <w:color w:val="auto"/>
                <w:kern w:val="0"/>
                <w:sz w:val="24"/>
              </w:rPr>
            </w:pPr>
          </w:p>
        </w:tc>
        <w:tc>
          <w:tcPr>
            <w:tcW w:w="1187"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14:paraId="30C9C993">
            <w:pPr>
              <w:widowControl/>
              <w:jc w:val="left"/>
              <w:rPr>
                <w:rFonts w:ascii="宋体" w:hAnsi="宋体" w:cs="宋体"/>
                <w:color w:val="auto"/>
                <w:kern w:val="0"/>
                <w:sz w:val="24"/>
              </w:rPr>
            </w:pPr>
          </w:p>
        </w:tc>
        <w:tc>
          <w:tcPr>
            <w:tcW w:w="1192"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14:paraId="10E1E7B6">
            <w:pPr>
              <w:widowControl/>
              <w:jc w:val="left"/>
              <w:rPr>
                <w:rFonts w:ascii="宋体" w:hAnsi="宋体" w:cs="宋体"/>
                <w:color w:val="auto"/>
                <w:kern w:val="0"/>
                <w:sz w:val="24"/>
              </w:rPr>
            </w:pPr>
          </w:p>
        </w:tc>
      </w:tr>
      <w:tr w14:paraId="0D46BE9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179" w:type="dxa"/>
            <w:tcBorders>
              <w:top w:val="single" w:color="auto" w:sz="0" w:space="0"/>
              <w:left w:val="outset" w:color="auto" w:sz="6" w:space="0"/>
              <w:bottom w:val="outset" w:color="auto" w:sz="6" w:space="0"/>
              <w:right w:val="outset" w:color="auto" w:sz="6" w:space="0"/>
            </w:tcBorders>
            <w:tcMar>
              <w:top w:w="0" w:type="dxa"/>
              <w:left w:w="105" w:type="dxa"/>
              <w:bottom w:w="0" w:type="dxa"/>
              <w:right w:w="105" w:type="dxa"/>
            </w:tcMar>
            <w:vAlign w:val="center"/>
          </w:tcPr>
          <w:p w14:paraId="325B687E">
            <w:pPr>
              <w:widowControl/>
              <w:jc w:val="center"/>
              <w:rPr>
                <w:rFonts w:ascii="宋体" w:hAnsi="宋体" w:cs="宋体"/>
                <w:color w:val="auto"/>
                <w:kern w:val="0"/>
                <w:sz w:val="24"/>
              </w:rPr>
            </w:pPr>
            <w:r>
              <w:rPr>
                <w:rFonts w:ascii="宋体" w:hAnsi="宋体" w:cs="宋体"/>
                <w:color w:val="auto"/>
                <w:kern w:val="0"/>
                <w:szCs w:val="21"/>
              </w:rPr>
              <w:t>备注</w:t>
            </w:r>
          </w:p>
        </w:tc>
        <w:tc>
          <w:tcPr>
            <w:tcW w:w="7251" w:type="dxa"/>
            <w:gridSpan w:val="6"/>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top"/>
          </w:tcPr>
          <w:p w14:paraId="3F440308">
            <w:pPr>
              <w:widowControl/>
              <w:jc w:val="left"/>
              <w:rPr>
                <w:rFonts w:ascii="宋体" w:hAnsi="宋体" w:cs="宋体"/>
                <w:color w:val="auto"/>
                <w:kern w:val="0"/>
                <w:sz w:val="24"/>
              </w:rPr>
            </w:pPr>
            <w:r>
              <w:rPr>
                <w:rFonts w:ascii="宋体" w:hAnsi="宋体" w:cs="宋体"/>
                <w:color w:val="auto"/>
                <w:kern w:val="0"/>
                <w:szCs w:val="21"/>
              </w:rPr>
              <w:t>a.本合同包内属于节能、环境标志产品的合计最后报价总金额：      ；</w:t>
            </w:r>
          </w:p>
          <w:p w14:paraId="4FCDA9D9">
            <w:pPr>
              <w:widowControl/>
              <w:jc w:val="left"/>
              <w:rPr>
                <w:rFonts w:ascii="宋体" w:hAnsi="宋体" w:cs="宋体"/>
                <w:color w:val="auto"/>
                <w:kern w:val="0"/>
                <w:sz w:val="24"/>
              </w:rPr>
            </w:pPr>
            <w:r>
              <w:rPr>
                <w:rFonts w:ascii="宋体" w:hAnsi="宋体" w:cs="宋体"/>
                <w:color w:val="auto"/>
                <w:kern w:val="0"/>
                <w:szCs w:val="21"/>
              </w:rPr>
              <w:t>b.本合同包最后报价总价：            ；</w:t>
            </w:r>
          </w:p>
          <w:p w14:paraId="4B72A98B">
            <w:pPr>
              <w:widowControl/>
              <w:jc w:val="left"/>
              <w:rPr>
                <w:rFonts w:ascii="宋体" w:hAnsi="宋体" w:cs="宋体"/>
                <w:color w:val="auto"/>
                <w:kern w:val="0"/>
                <w:sz w:val="24"/>
              </w:rPr>
            </w:pPr>
            <w:r>
              <w:rPr>
                <w:rFonts w:ascii="宋体" w:hAnsi="宋体" w:cs="宋体"/>
                <w:color w:val="auto"/>
                <w:kern w:val="0"/>
                <w:szCs w:val="21"/>
              </w:rPr>
              <w:t>c.本合同包内属于节能、环境标志产品的合计最后报价总金额占本合同包最后报价总价的比例（以</w:t>
            </w:r>
            <w:r>
              <w:rPr>
                <w:rFonts w:ascii="Calibri" w:hAnsi="Calibri" w:cs="宋体"/>
                <w:color w:val="auto"/>
                <w:kern w:val="0"/>
                <w:szCs w:val="21"/>
              </w:rPr>
              <w:t>%</w:t>
            </w:r>
            <w:r>
              <w:rPr>
                <w:rFonts w:ascii="宋体" w:hAnsi="宋体" w:cs="宋体"/>
                <w:color w:val="auto"/>
                <w:kern w:val="0"/>
                <w:szCs w:val="21"/>
              </w:rPr>
              <w:t>列示）：           。</w:t>
            </w:r>
          </w:p>
        </w:tc>
      </w:tr>
    </w:tbl>
    <w:p w14:paraId="1479D984">
      <w:pPr>
        <w:widowControl/>
        <w:spacing w:before="75" w:after="75" w:line="360" w:lineRule="atLeast"/>
        <w:jc w:val="left"/>
        <w:rPr>
          <w:rFonts w:ascii="宋体" w:hAnsi="宋体" w:cs="宋体"/>
          <w:color w:val="auto"/>
          <w:kern w:val="0"/>
          <w:sz w:val="24"/>
        </w:rPr>
      </w:pPr>
      <w:r>
        <w:rPr>
          <w:rFonts w:hint="eastAsia" w:ascii="宋体" w:hAnsi="宋体" w:cs="宋体"/>
          <w:color w:val="auto"/>
          <w:kern w:val="0"/>
          <w:szCs w:val="21"/>
        </w:rPr>
        <w:t>★</w:t>
      </w:r>
      <w:r>
        <w:rPr>
          <w:rFonts w:ascii="宋体" w:hAnsi="宋体" w:cs="宋体"/>
          <w:color w:val="auto"/>
          <w:kern w:val="0"/>
          <w:szCs w:val="21"/>
        </w:rPr>
        <w:t>注意：</w:t>
      </w:r>
    </w:p>
    <w:p w14:paraId="1AEA6CE2">
      <w:pPr>
        <w:widowControl/>
        <w:spacing w:before="75" w:after="75" w:line="360" w:lineRule="atLeast"/>
        <w:jc w:val="left"/>
        <w:rPr>
          <w:rFonts w:ascii="宋体" w:hAnsi="宋体" w:cs="宋体"/>
          <w:color w:val="auto"/>
          <w:kern w:val="0"/>
          <w:sz w:val="24"/>
        </w:rPr>
      </w:pPr>
      <w:r>
        <w:rPr>
          <w:rFonts w:ascii="宋体" w:hAnsi="宋体" w:cs="宋体"/>
          <w:color w:val="auto"/>
          <w:kern w:val="0"/>
          <w:szCs w:val="21"/>
        </w:rPr>
        <w:t>1.供应商提供的产品属于《节能产品政策采购清单》，应提供产品所在最新一期《节能产品政府采购清单》所在页复印件，并划线注明对应的产品，以利谈判小组审阅。未按要求提供证明资料并划线注明的，谈判小组将不予认定，不享受价格扣除的优惠政策。</w:t>
      </w:r>
    </w:p>
    <w:p w14:paraId="36DD4930">
      <w:pPr>
        <w:widowControl/>
        <w:spacing w:before="75" w:after="75" w:line="360" w:lineRule="atLeast"/>
        <w:jc w:val="left"/>
        <w:rPr>
          <w:rFonts w:ascii="宋体" w:hAnsi="宋体" w:cs="宋体"/>
          <w:color w:val="auto"/>
          <w:kern w:val="0"/>
          <w:sz w:val="24"/>
        </w:rPr>
      </w:pPr>
      <w:r>
        <w:rPr>
          <w:rFonts w:ascii="宋体" w:hAnsi="宋体" w:cs="宋体"/>
          <w:color w:val="auto"/>
          <w:kern w:val="0"/>
          <w:szCs w:val="21"/>
        </w:rPr>
        <w:t>2.供应商提供的产品属于《环境标志产品政府采购清单》，应提供产品所在最新一期《环境标志产品政府采购清单》所在页复印件，并划线注明对应的产品，以利谈判小组审阅。未按要求提供证明资料并划线注明的，谈判小组将不予认定，不享受价格扣除的优惠政策。</w:t>
      </w:r>
    </w:p>
    <w:p w14:paraId="52FF8A61">
      <w:pPr>
        <w:widowControl/>
        <w:spacing w:before="75" w:after="75" w:line="360" w:lineRule="atLeast"/>
        <w:jc w:val="left"/>
        <w:rPr>
          <w:rFonts w:ascii="宋体" w:hAnsi="宋体" w:cs="宋体"/>
          <w:color w:val="auto"/>
          <w:kern w:val="0"/>
          <w:sz w:val="24"/>
        </w:rPr>
      </w:pPr>
      <w:r>
        <w:rPr>
          <w:rFonts w:ascii="宋体" w:hAnsi="宋体" w:cs="宋体"/>
          <w:color w:val="auto"/>
          <w:kern w:val="0"/>
          <w:szCs w:val="21"/>
        </w:rPr>
        <w:t>3、具体统计、计算：</w:t>
      </w:r>
    </w:p>
    <w:p w14:paraId="7CC49C9E">
      <w:pPr>
        <w:widowControl/>
        <w:spacing w:before="75" w:after="75" w:line="360" w:lineRule="atLeast"/>
        <w:jc w:val="left"/>
        <w:rPr>
          <w:rFonts w:ascii="宋体" w:hAnsi="宋体" w:cs="宋体"/>
          <w:color w:val="auto"/>
          <w:kern w:val="0"/>
          <w:sz w:val="24"/>
        </w:rPr>
      </w:pPr>
      <w:r>
        <w:rPr>
          <w:rFonts w:ascii="宋体" w:hAnsi="宋体" w:cs="宋体"/>
          <w:color w:val="auto"/>
          <w:kern w:val="0"/>
          <w:szCs w:val="21"/>
        </w:rPr>
        <w:t>3.1若同一合同包内的单个或多个货物取得或同时取得节能、环境标志产品等两项或多项认证的，均按照单个货物对应一项认证的原则统计、计算</w:t>
      </w:r>
      <w:r>
        <w:rPr>
          <w:rFonts w:ascii="Calibri" w:hAnsi="Calibri" w:cs="宋体"/>
          <w:color w:val="auto"/>
          <w:kern w:val="0"/>
          <w:szCs w:val="21"/>
        </w:rPr>
        <w:t>1</w:t>
      </w:r>
      <w:r>
        <w:rPr>
          <w:rFonts w:ascii="宋体" w:hAnsi="宋体" w:cs="宋体"/>
          <w:color w:val="auto"/>
          <w:kern w:val="0"/>
          <w:szCs w:val="21"/>
        </w:rPr>
        <w:t>次。</w:t>
      </w:r>
    </w:p>
    <w:p w14:paraId="1E1E16BF">
      <w:pPr>
        <w:widowControl/>
        <w:spacing w:before="75" w:after="75" w:line="360" w:lineRule="atLeast"/>
        <w:jc w:val="left"/>
        <w:rPr>
          <w:rFonts w:ascii="宋体" w:hAnsi="宋体" w:cs="宋体"/>
          <w:color w:val="auto"/>
          <w:kern w:val="0"/>
          <w:sz w:val="24"/>
        </w:rPr>
      </w:pPr>
      <w:r>
        <w:rPr>
          <w:rFonts w:ascii="宋体" w:hAnsi="宋体" w:cs="宋体"/>
          <w:color w:val="auto"/>
          <w:kern w:val="0"/>
          <w:szCs w:val="21"/>
        </w:rPr>
        <w:t>3.2计算结果若除不尽，可四舍五入保留到小数点后两位。</w:t>
      </w:r>
    </w:p>
    <w:p w14:paraId="4E753BD6">
      <w:pPr>
        <w:widowControl/>
        <w:spacing w:before="75" w:after="75" w:line="360" w:lineRule="atLeast"/>
        <w:jc w:val="left"/>
        <w:rPr>
          <w:rFonts w:ascii="宋体" w:hAnsi="宋体" w:cs="宋体"/>
          <w:color w:val="auto"/>
          <w:kern w:val="0"/>
          <w:sz w:val="24"/>
        </w:rPr>
      </w:pPr>
      <w:r>
        <w:rPr>
          <w:rFonts w:ascii="宋体" w:hAnsi="宋体" w:cs="宋体"/>
          <w:color w:val="auto"/>
          <w:kern w:val="0"/>
          <w:szCs w:val="21"/>
        </w:rPr>
        <w:t>3.3供应商应按照谈判文件上表要求认真统计、计算，否则谈判小组可不予认定。</w:t>
      </w:r>
    </w:p>
    <w:p w14:paraId="55118CA6">
      <w:pPr>
        <w:widowControl/>
        <w:spacing w:before="75" w:after="75" w:line="360" w:lineRule="atLeast"/>
        <w:jc w:val="left"/>
        <w:rPr>
          <w:rFonts w:ascii="宋体" w:hAnsi="宋体" w:cs="宋体"/>
          <w:color w:val="auto"/>
          <w:kern w:val="0"/>
          <w:sz w:val="24"/>
        </w:rPr>
      </w:pPr>
      <w:r>
        <w:rPr>
          <w:rFonts w:ascii="宋体" w:hAnsi="宋体" w:cs="宋体"/>
          <w:color w:val="auto"/>
          <w:kern w:val="0"/>
          <w:szCs w:val="21"/>
        </w:rPr>
        <w:t>3.4若无节能、环境标志产品，不填写本表，否则，视为提供虚假材料。</w:t>
      </w:r>
    </w:p>
    <w:p w14:paraId="72787A98">
      <w:pPr>
        <w:widowControl/>
        <w:spacing w:before="75" w:after="75" w:line="360" w:lineRule="atLeast"/>
        <w:jc w:val="left"/>
        <w:rPr>
          <w:rFonts w:ascii="宋体" w:hAnsi="宋体" w:cs="宋体"/>
          <w:color w:val="auto"/>
          <w:kern w:val="0"/>
          <w:sz w:val="24"/>
        </w:rPr>
      </w:pPr>
      <w:r>
        <w:rPr>
          <w:rFonts w:ascii="宋体" w:hAnsi="宋体" w:cs="宋体"/>
          <w:color w:val="auto"/>
          <w:kern w:val="0"/>
          <w:szCs w:val="21"/>
        </w:rPr>
        <w:t>3.5强制类节能产品不享受价格扣除。</w:t>
      </w:r>
    </w:p>
    <w:p w14:paraId="017DAE2B">
      <w:pPr>
        <w:widowControl/>
        <w:spacing w:before="75" w:after="75" w:line="360" w:lineRule="atLeast"/>
        <w:jc w:val="left"/>
        <w:rPr>
          <w:rFonts w:ascii="宋体" w:hAnsi="宋体" w:cs="宋体"/>
          <w:color w:val="auto"/>
          <w:kern w:val="0"/>
          <w:sz w:val="24"/>
        </w:rPr>
      </w:pPr>
      <w:r>
        <w:rPr>
          <w:rFonts w:ascii="宋体" w:hAnsi="宋体" w:cs="宋体"/>
          <w:color w:val="auto"/>
          <w:kern w:val="0"/>
          <w:szCs w:val="21"/>
        </w:rPr>
        <w:t>4、本表以合同包为单位，不同合同包请分别填写；同一合同包请按照顺序分别填写，以方便谈判小组审阅。供应商在提交最后报价时，如果没有同时向谈判小组提交上表内容并附相应证明资料，视同为供应商的产品不属于节能、环境标志产品，不享受价格扣除的优惠政策。</w:t>
      </w:r>
    </w:p>
    <w:p w14:paraId="726AE05C">
      <w:pPr>
        <w:widowControl/>
        <w:spacing w:before="75" w:after="75" w:line="360" w:lineRule="atLeast"/>
        <w:jc w:val="left"/>
        <w:rPr>
          <w:rFonts w:ascii="宋体" w:hAnsi="宋体" w:cs="宋体"/>
          <w:color w:val="auto"/>
          <w:kern w:val="0"/>
          <w:sz w:val="24"/>
        </w:rPr>
      </w:pPr>
      <w:r>
        <w:rPr>
          <w:rFonts w:ascii="宋体" w:hAnsi="宋体" w:cs="宋体"/>
          <w:color w:val="auto"/>
          <w:kern w:val="0"/>
          <w:szCs w:val="21"/>
        </w:rPr>
        <w:t>5、纸质响应文件正本中的本表（若有）应为原件。</w:t>
      </w:r>
    </w:p>
    <w:p w14:paraId="170F9F79">
      <w:pPr>
        <w:widowControl/>
        <w:spacing w:before="75" w:after="75" w:line="420" w:lineRule="atLeast"/>
        <w:jc w:val="left"/>
        <w:rPr>
          <w:rFonts w:ascii="宋体" w:hAnsi="宋体" w:cs="宋体"/>
          <w:color w:val="auto"/>
          <w:kern w:val="0"/>
          <w:sz w:val="24"/>
        </w:rPr>
      </w:pPr>
      <w:r>
        <w:rPr>
          <w:rFonts w:ascii="宋体" w:hAnsi="宋体" w:cs="宋体"/>
          <w:color w:val="auto"/>
          <w:kern w:val="0"/>
          <w:sz w:val="24"/>
        </w:rPr>
        <w:t>供应商代表：             （签字） </w:t>
      </w:r>
    </w:p>
    <w:p w14:paraId="5F4B51B7">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日  期：     年    月    日 </w:t>
      </w:r>
    </w:p>
    <w:p w14:paraId="75868B1D">
      <w:pPr>
        <w:widowControl/>
        <w:spacing w:before="75" w:after="75"/>
        <w:jc w:val="left"/>
        <w:rPr>
          <w:rFonts w:ascii="宋体" w:hAnsi="宋体" w:cs="宋体"/>
          <w:color w:val="auto"/>
          <w:kern w:val="0"/>
          <w:sz w:val="24"/>
        </w:rPr>
      </w:pPr>
      <w:r>
        <w:rPr>
          <w:rFonts w:ascii="宋体" w:hAnsi="宋体" w:cs="宋体"/>
          <w:color w:val="auto"/>
          <w:kern w:val="0"/>
          <w:sz w:val="24"/>
        </w:rPr>
        <w:t> </w:t>
      </w:r>
    </w:p>
    <w:p w14:paraId="336EBAC6">
      <w:pPr>
        <w:widowControl/>
        <w:spacing w:before="75" w:after="75"/>
        <w:jc w:val="left"/>
        <w:rPr>
          <w:rFonts w:ascii="宋体" w:hAnsi="宋体" w:cs="宋体"/>
          <w:color w:val="auto"/>
          <w:kern w:val="0"/>
          <w:sz w:val="24"/>
        </w:rPr>
      </w:pPr>
    </w:p>
    <w:p w14:paraId="57147402">
      <w:pPr>
        <w:widowControl/>
        <w:spacing w:before="75" w:after="75"/>
        <w:jc w:val="left"/>
        <w:rPr>
          <w:rFonts w:ascii="宋体" w:hAnsi="宋体" w:cs="宋体"/>
          <w:color w:val="auto"/>
          <w:kern w:val="0"/>
          <w:sz w:val="24"/>
        </w:rPr>
      </w:pPr>
    </w:p>
    <w:p w14:paraId="48C9E45F">
      <w:pPr>
        <w:widowControl/>
        <w:spacing w:before="75" w:after="75"/>
        <w:jc w:val="left"/>
        <w:rPr>
          <w:rFonts w:ascii="宋体" w:hAnsi="宋体" w:cs="宋体"/>
          <w:color w:val="auto"/>
          <w:kern w:val="0"/>
          <w:sz w:val="24"/>
        </w:rPr>
      </w:pPr>
    </w:p>
    <w:p w14:paraId="4D8C98D9">
      <w:pPr>
        <w:widowControl/>
        <w:spacing w:before="75" w:after="75"/>
        <w:jc w:val="left"/>
        <w:rPr>
          <w:rFonts w:ascii="宋体" w:hAnsi="宋体" w:cs="宋体"/>
          <w:color w:val="auto"/>
          <w:kern w:val="0"/>
          <w:sz w:val="24"/>
        </w:rPr>
      </w:pPr>
    </w:p>
    <w:p w14:paraId="1CD01E1F">
      <w:pPr>
        <w:widowControl/>
        <w:spacing w:before="75" w:after="75"/>
        <w:jc w:val="left"/>
        <w:rPr>
          <w:rFonts w:ascii="宋体" w:hAnsi="宋体" w:cs="宋体"/>
          <w:color w:val="auto"/>
          <w:kern w:val="0"/>
          <w:sz w:val="24"/>
        </w:rPr>
      </w:pPr>
    </w:p>
    <w:p w14:paraId="5F39A9CE">
      <w:pPr>
        <w:widowControl/>
        <w:spacing w:before="75" w:after="75"/>
        <w:jc w:val="left"/>
        <w:rPr>
          <w:rFonts w:ascii="宋体" w:hAnsi="宋体" w:cs="宋体"/>
          <w:color w:val="auto"/>
          <w:kern w:val="0"/>
          <w:sz w:val="24"/>
        </w:rPr>
      </w:pPr>
    </w:p>
    <w:p w14:paraId="13AD14F8">
      <w:pPr>
        <w:widowControl/>
        <w:spacing w:before="75" w:after="75"/>
        <w:jc w:val="left"/>
        <w:rPr>
          <w:rFonts w:ascii="宋体" w:hAnsi="宋体" w:cs="宋体"/>
          <w:color w:val="auto"/>
          <w:kern w:val="0"/>
          <w:sz w:val="24"/>
        </w:rPr>
      </w:pPr>
    </w:p>
    <w:p w14:paraId="333EB099">
      <w:pPr>
        <w:widowControl/>
        <w:spacing w:before="75" w:after="75"/>
        <w:jc w:val="left"/>
        <w:rPr>
          <w:rFonts w:ascii="宋体" w:hAnsi="宋体" w:cs="宋体"/>
          <w:color w:val="auto"/>
          <w:kern w:val="0"/>
          <w:sz w:val="24"/>
        </w:rPr>
      </w:pPr>
    </w:p>
    <w:p w14:paraId="489537FE">
      <w:pPr>
        <w:widowControl/>
        <w:spacing w:before="75" w:after="75"/>
        <w:jc w:val="left"/>
        <w:rPr>
          <w:rFonts w:ascii="宋体" w:hAnsi="宋体" w:cs="宋体"/>
          <w:color w:val="auto"/>
          <w:kern w:val="0"/>
          <w:sz w:val="24"/>
        </w:rPr>
      </w:pPr>
    </w:p>
    <w:p w14:paraId="10920CC5">
      <w:pPr>
        <w:widowControl/>
        <w:spacing w:before="75" w:after="75"/>
        <w:jc w:val="left"/>
        <w:rPr>
          <w:rFonts w:ascii="宋体" w:hAnsi="宋体" w:cs="宋体"/>
          <w:color w:val="auto"/>
          <w:kern w:val="0"/>
          <w:sz w:val="24"/>
        </w:rPr>
      </w:pPr>
    </w:p>
    <w:p w14:paraId="7D3A024D">
      <w:pPr>
        <w:widowControl/>
        <w:spacing w:before="75" w:after="75"/>
        <w:jc w:val="left"/>
        <w:rPr>
          <w:rFonts w:ascii="宋体" w:hAnsi="宋体" w:cs="宋体"/>
          <w:color w:val="auto"/>
          <w:kern w:val="0"/>
          <w:sz w:val="24"/>
        </w:rPr>
      </w:pPr>
      <w:r>
        <w:rPr>
          <w:rFonts w:ascii="宋体" w:hAnsi="宋体" w:cs="宋体"/>
          <w:color w:val="auto"/>
          <w:kern w:val="0"/>
          <w:sz w:val="24"/>
        </w:rPr>
        <w:br w:type="textWrapping"/>
      </w:r>
      <w:r>
        <w:rPr>
          <w:rFonts w:ascii="宋体" w:hAnsi="宋体" w:cs="宋体"/>
          <w:color w:val="auto"/>
          <w:kern w:val="0"/>
          <w:sz w:val="24"/>
        </w:rPr>
        <w:t>附件8       </w:t>
      </w:r>
      <w:r>
        <w:rPr>
          <w:rFonts w:ascii="宋体" w:hAnsi="宋体" w:cs="宋体"/>
          <w:b/>
          <w:bCs/>
          <w:color w:val="auto"/>
          <w:kern w:val="0"/>
          <w:sz w:val="24"/>
        </w:rPr>
        <w:t>要求作为响应文件组成部分的其他内容（若有）</w:t>
      </w:r>
    </w:p>
    <w:p w14:paraId="01A29086">
      <w:pPr>
        <w:widowControl/>
        <w:spacing w:before="75" w:after="75"/>
        <w:jc w:val="left"/>
        <w:rPr>
          <w:rFonts w:ascii="宋体" w:hAnsi="宋体" w:cs="宋体"/>
          <w:color w:val="auto"/>
          <w:kern w:val="0"/>
          <w:sz w:val="24"/>
        </w:rPr>
      </w:pPr>
      <w:r>
        <w:rPr>
          <w:rFonts w:ascii="宋体" w:hAnsi="宋体" w:cs="宋体"/>
          <w:color w:val="auto"/>
          <w:kern w:val="0"/>
          <w:sz w:val="24"/>
        </w:rPr>
        <w:t> </w:t>
      </w:r>
    </w:p>
    <w:p w14:paraId="00D9E90A">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说明：</w:t>
      </w:r>
    </w:p>
    <w:p w14:paraId="47E2DCDA">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1、采购人或采购代理机构可以根据项目的特点和需要，在谈判文件中对要求作为响应文件组成部分的其他内容进行具体规定或附表格式，供应商应按照谈判文件要求提供相关承诺及材料，并加盖供应商单位公章。</w:t>
      </w:r>
    </w:p>
    <w:p w14:paraId="3631BFD1">
      <w:pPr>
        <w:widowControl/>
        <w:spacing w:before="75" w:after="75" w:line="435" w:lineRule="atLeast"/>
        <w:ind w:firstLine="480"/>
        <w:jc w:val="left"/>
        <w:rPr>
          <w:rFonts w:ascii="宋体" w:hAnsi="宋体" w:cs="宋体"/>
          <w:color w:val="auto"/>
          <w:kern w:val="0"/>
          <w:sz w:val="24"/>
        </w:rPr>
      </w:pPr>
      <w:r>
        <w:rPr>
          <w:rFonts w:ascii="宋体" w:hAnsi="宋体" w:cs="宋体"/>
          <w:color w:val="auto"/>
          <w:kern w:val="0"/>
          <w:sz w:val="24"/>
        </w:rPr>
        <w:t>2、供应商根据自身实际情况编写有关资料包括如供应商单位简介、竞争性谈判文件要求提供或供应商自已认为体现自身优势，需要补充说明的其它资料，格式自拟。</w:t>
      </w:r>
    </w:p>
    <w:p w14:paraId="1CD919F5">
      <w:pPr>
        <w:widowControl/>
        <w:spacing w:before="75" w:after="75" w:line="435" w:lineRule="atLeast"/>
        <w:rPr>
          <w:rFonts w:ascii="宋体" w:hAnsi="宋体" w:cs="宋体"/>
          <w:color w:val="auto"/>
          <w:kern w:val="0"/>
          <w:sz w:val="24"/>
          <w:shd w:val="clear" w:color="auto" w:fill="7F7F7F"/>
        </w:rPr>
      </w:pPr>
    </w:p>
    <w:p w14:paraId="7990D564">
      <w:pPr>
        <w:widowControl/>
        <w:spacing w:before="75" w:after="75" w:line="435" w:lineRule="atLeast"/>
        <w:rPr>
          <w:rFonts w:ascii="宋体" w:hAnsi="宋体" w:cs="宋体"/>
          <w:color w:val="auto"/>
          <w:kern w:val="0"/>
          <w:sz w:val="24"/>
          <w:shd w:val="clear" w:color="auto" w:fill="7F7F7F"/>
        </w:rPr>
      </w:pPr>
    </w:p>
    <w:p w14:paraId="7F008F40">
      <w:pPr>
        <w:widowControl/>
        <w:spacing w:before="75" w:after="75" w:line="435" w:lineRule="atLeast"/>
        <w:rPr>
          <w:rFonts w:ascii="宋体" w:hAnsi="宋体" w:cs="宋体"/>
          <w:color w:val="auto"/>
          <w:kern w:val="0"/>
          <w:sz w:val="24"/>
        </w:rPr>
      </w:pPr>
      <w:r>
        <w:rPr>
          <w:rFonts w:ascii="宋体" w:hAnsi="宋体" w:cs="宋体"/>
          <w:color w:val="auto"/>
          <w:kern w:val="0"/>
          <w:sz w:val="24"/>
        </w:rPr>
        <w:t>供应商代表：      （签字） </w:t>
      </w:r>
    </w:p>
    <w:p w14:paraId="334F69F9">
      <w:pPr>
        <w:widowControl/>
        <w:spacing w:before="75" w:after="75" w:line="435" w:lineRule="atLeast"/>
        <w:rPr>
          <w:rFonts w:ascii="宋体" w:hAnsi="宋体" w:cs="宋体"/>
          <w:color w:val="auto"/>
          <w:kern w:val="0"/>
          <w:sz w:val="24"/>
        </w:rPr>
      </w:pPr>
      <w:r>
        <w:rPr>
          <w:rFonts w:ascii="宋体" w:hAnsi="宋体" w:cs="宋体"/>
          <w:color w:val="auto"/>
          <w:kern w:val="0"/>
          <w:sz w:val="24"/>
        </w:rPr>
        <w:t>供应商名称：  （全称并加盖公章）              </w:t>
      </w:r>
    </w:p>
    <w:p w14:paraId="3040048D">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日  期：     年    月    日</w:t>
      </w:r>
    </w:p>
    <w:p w14:paraId="55443238">
      <w:pPr>
        <w:widowControl/>
        <w:spacing w:before="75" w:after="75" w:line="435" w:lineRule="atLeast"/>
        <w:jc w:val="left"/>
        <w:rPr>
          <w:rFonts w:ascii="宋体" w:hAnsi="宋体" w:cs="宋体"/>
          <w:color w:val="auto"/>
          <w:kern w:val="0"/>
          <w:sz w:val="24"/>
        </w:rPr>
      </w:pPr>
      <w:r>
        <w:rPr>
          <w:rFonts w:ascii="宋体" w:hAnsi="宋体" w:cs="宋体"/>
          <w:color w:val="auto"/>
          <w:kern w:val="0"/>
          <w:sz w:val="24"/>
        </w:rPr>
        <w:t> </w:t>
      </w:r>
    </w:p>
    <w:p w14:paraId="10D7EDA9">
      <w:pPr>
        <w:widowControl/>
        <w:spacing w:before="75" w:after="75"/>
        <w:jc w:val="left"/>
        <w:rPr>
          <w:rFonts w:ascii="宋体" w:hAnsi="宋体" w:cs="宋体"/>
          <w:color w:val="auto"/>
          <w:kern w:val="0"/>
          <w:sz w:val="24"/>
        </w:rPr>
      </w:pPr>
      <w:r>
        <w:rPr>
          <w:rFonts w:ascii="宋体" w:hAnsi="宋体" w:cs="宋体"/>
          <w:color w:val="auto"/>
          <w:kern w:val="0"/>
          <w:sz w:val="24"/>
        </w:rPr>
        <w:t> </w:t>
      </w:r>
    </w:p>
    <w:p w14:paraId="53446F48">
      <w:pPr>
        <w:widowControl/>
        <w:spacing w:before="75" w:after="75"/>
        <w:jc w:val="left"/>
        <w:rPr>
          <w:rFonts w:ascii="宋体" w:hAnsi="宋体" w:cs="宋体"/>
          <w:color w:val="auto"/>
          <w:kern w:val="0"/>
          <w:sz w:val="24"/>
        </w:rPr>
      </w:pPr>
      <w:r>
        <w:rPr>
          <w:rFonts w:ascii="宋体" w:hAnsi="宋体" w:cs="宋体"/>
          <w:color w:val="auto"/>
          <w:kern w:val="0"/>
          <w:sz w:val="24"/>
        </w:rPr>
        <w:t> </w:t>
      </w:r>
    </w:p>
    <w:p w14:paraId="6548E3A0">
      <w:pPr>
        <w:widowControl/>
        <w:spacing w:before="100" w:beforeAutospacing="1" w:after="100" w:afterAutospacing="1"/>
        <w:jc w:val="left"/>
        <w:rPr>
          <w:rFonts w:ascii="宋体" w:hAnsi="宋体" w:cs="宋体"/>
          <w:color w:val="auto"/>
          <w:kern w:val="0"/>
          <w:sz w:val="24"/>
        </w:rPr>
      </w:pPr>
      <w:r>
        <w:rPr>
          <w:rFonts w:ascii="宋体" w:hAnsi="宋体" w:cs="宋体"/>
          <w:color w:val="auto"/>
          <w:kern w:val="0"/>
          <w:sz w:val="24"/>
        </w:rPr>
        <w:t> </w:t>
      </w:r>
    </w:p>
    <w:sectPr>
      <w:footerReference r:id="rId3" w:type="default"/>
      <w:pgSz w:w="11906" w:h="16838"/>
      <w:pgMar w:top="1440" w:right="1700" w:bottom="1440"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script"/>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Verdana">
    <w:panose1 w:val="020B0604030504040204"/>
    <w:charset w:val="00"/>
    <w:family w:val="auto"/>
    <w:pitch w:val="default"/>
    <w:sig w:usb0="A0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422471">
    <w:pPr>
      <w:pStyle w:val="9"/>
      <w:jc w:val="center"/>
    </w:pPr>
    <w:r>
      <w:fldChar w:fldCharType="begin"/>
    </w:r>
    <w:r>
      <w:instrText xml:space="preserve"> PAGE   \* MERGEFORMAT </w:instrText>
    </w:r>
    <w:r>
      <w:fldChar w:fldCharType="separate"/>
    </w:r>
    <w:r>
      <w:rPr>
        <w:lang w:val="zh-CN"/>
      </w:rPr>
      <w:t>7</w:t>
    </w:r>
    <w:r>
      <w:rPr>
        <w:lang w:val="zh-CN"/>
      </w:rPr>
      <w:fldChar w:fldCharType="end"/>
    </w:r>
  </w:p>
  <w:p w14:paraId="0A6EDC96">
    <w:pPr>
      <w:pStyle w:val="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05A4AD"/>
    <w:multiLevelType w:val="singleLevel"/>
    <w:tmpl w:val="9005A4AD"/>
    <w:lvl w:ilvl="0" w:tentative="0">
      <w:start w:val="8"/>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I0YWIxMDJkMzhmMTFlYjcyMjA2OGVmZjBmMzJjOGYifQ=="/>
  </w:docVars>
  <w:rsids>
    <w:rsidRoot w:val="00172A27"/>
    <w:rsid w:val="00172A27"/>
    <w:rsid w:val="003B404A"/>
    <w:rsid w:val="00425694"/>
    <w:rsid w:val="00800CB4"/>
    <w:rsid w:val="00A940DF"/>
    <w:rsid w:val="00E44EA2"/>
    <w:rsid w:val="00EA7EDB"/>
    <w:rsid w:val="05542952"/>
    <w:rsid w:val="05CF6594"/>
    <w:rsid w:val="05D248AA"/>
    <w:rsid w:val="0AA803EB"/>
    <w:rsid w:val="0AF27632"/>
    <w:rsid w:val="0C9275AC"/>
    <w:rsid w:val="0CC92785"/>
    <w:rsid w:val="0D3C591C"/>
    <w:rsid w:val="0DD02AC3"/>
    <w:rsid w:val="10362F64"/>
    <w:rsid w:val="10EC725D"/>
    <w:rsid w:val="11D339E1"/>
    <w:rsid w:val="121542F6"/>
    <w:rsid w:val="131C7166"/>
    <w:rsid w:val="13FA6B54"/>
    <w:rsid w:val="154C2BAE"/>
    <w:rsid w:val="171B5478"/>
    <w:rsid w:val="17F915E3"/>
    <w:rsid w:val="198945A8"/>
    <w:rsid w:val="1A0345EE"/>
    <w:rsid w:val="1ADA220C"/>
    <w:rsid w:val="1B1F4AED"/>
    <w:rsid w:val="200B1023"/>
    <w:rsid w:val="210825C9"/>
    <w:rsid w:val="21842E28"/>
    <w:rsid w:val="21BA41E2"/>
    <w:rsid w:val="21DB2198"/>
    <w:rsid w:val="22BC2B0B"/>
    <w:rsid w:val="250645D5"/>
    <w:rsid w:val="281A2C55"/>
    <w:rsid w:val="29765412"/>
    <w:rsid w:val="308213A5"/>
    <w:rsid w:val="308F4C3A"/>
    <w:rsid w:val="319C6DA4"/>
    <w:rsid w:val="3211293A"/>
    <w:rsid w:val="325375B1"/>
    <w:rsid w:val="337F6EAE"/>
    <w:rsid w:val="35281038"/>
    <w:rsid w:val="366F6862"/>
    <w:rsid w:val="38D254F7"/>
    <w:rsid w:val="3B653F24"/>
    <w:rsid w:val="3BA42E0F"/>
    <w:rsid w:val="3D190A2C"/>
    <w:rsid w:val="3EAC3A7E"/>
    <w:rsid w:val="3F141337"/>
    <w:rsid w:val="3F8E0058"/>
    <w:rsid w:val="401B009D"/>
    <w:rsid w:val="41A97BDE"/>
    <w:rsid w:val="44EB7EF4"/>
    <w:rsid w:val="45255A1E"/>
    <w:rsid w:val="455475CD"/>
    <w:rsid w:val="47CD7812"/>
    <w:rsid w:val="482F7D9A"/>
    <w:rsid w:val="49CB7DE2"/>
    <w:rsid w:val="4B6068B8"/>
    <w:rsid w:val="4D1619B8"/>
    <w:rsid w:val="4D7670B7"/>
    <w:rsid w:val="4D8579DC"/>
    <w:rsid w:val="50520FD6"/>
    <w:rsid w:val="518F15DB"/>
    <w:rsid w:val="523F2303"/>
    <w:rsid w:val="52EB7685"/>
    <w:rsid w:val="532627FD"/>
    <w:rsid w:val="54E16C1C"/>
    <w:rsid w:val="590A5625"/>
    <w:rsid w:val="5A0709DC"/>
    <w:rsid w:val="5ACC7C83"/>
    <w:rsid w:val="5D184E4B"/>
    <w:rsid w:val="5D8366F8"/>
    <w:rsid w:val="5E305D46"/>
    <w:rsid w:val="605C71A6"/>
    <w:rsid w:val="61017934"/>
    <w:rsid w:val="61192DDC"/>
    <w:rsid w:val="62B527FD"/>
    <w:rsid w:val="6335180F"/>
    <w:rsid w:val="63A46762"/>
    <w:rsid w:val="654A5ED9"/>
    <w:rsid w:val="672D1DC4"/>
    <w:rsid w:val="67F20A66"/>
    <w:rsid w:val="69836693"/>
    <w:rsid w:val="6B2A0C9B"/>
    <w:rsid w:val="6B8343C5"/>
    <w:rsid w:val="6BBF1117"/>
    <w:rsid w:val="6C662BE4"/>
    <w:rsid w:val="6DFC779E"/>
    <w:rsid w:val="6F42455A"/>
    <w:rsid w:val="6F911E17"/>
    <w:rsid w:val="6FC1125F"/>
    <w:rsid w:val="713118C3"/>
    <w:rsid w:val="728B087B"/>
    <w:rsid w:val="753801D3"/>
    <w:rsid w:val="76914061"/>
    <w:rsid w:val="775271DE"/>
    <w:rsid w:val="78B40D6C"/>
    <w:rsid w:val="7ABA7CB1"/>
    <w:rsid w:val="7B05016F"/>
    <w:rsid w:val="7D0A5ACB"/>
    <w:rsid w:val="7E6232E6"/>
    <w:rsid w:val="7FEC4DD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99"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qFormat="1" w:unhideWhenUsed="0" w:uiPriority="0"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Calibri Light" w:hAnsi="Calibri Light"/>
      <w:b/>
      <w:bCs/>
      <w:sz w:val="32"/>
      <w:szCs w:val="32"/>
    </w:rPr>
  </w:style>
  <w:style w:type="paragraph" w:styleId="3">
    <w:name w:val="heading 3"/>
    <w:basedOn w:val="1"/>
    <w:next w:val="1"/>
    <w:qFormat/>
    <w:uiPriority w:val="0"/>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1"/>
    <w:next w:val="1"/>
    <w:qFormat/>
    <w:uiPriority w:val="0"/>
    <w:pPr>
      <w:keepNext/>
      <w:spacing w:line="360" w:lineRule="auto"/>
      <w:jc w:val="center"/>
      <w:outlineLvl w:val="3"/>
    </w:pPr>
    <w:rPr>
      <w:rFonts w:ascii="宋体" w:hAnsi="宋体" w:cs="宋体"/>
      <w:b/>
      <w:bCs/>
      <w:kern w:val="0"/>
      <w:sz w:val="20"/>
      <w:szCs w:val="20"/>
    </w:rPr>
  </w:style>
  <w:style w:type="character" w:default="1" w:styleId="16">
    <w:name w:val="Default Paragraph Font"/>
    <w:unhideWhenUsed/>
    <w:qFormat/>
    <w:uiPriority w:val="1"/>
  </w:style>
  <w:style w:type="table" w:default="1" w:styleId="14">
    <w:name w:val="Normal Table"/>
    <w:unhideWhenUsed/>
    <w:qFormat/>
    <w:uiPriority w:val="99"/>
    <w:tblPr>
      <w:tblCellMar>
        <w:top w:w="0" w:type="dxa"/>
        <w:left w:w="108" w:type="dxa"/>
        <w:bottom w:w="0" w:type="dxa"/>
        <w:right w:w="108" w:type="dxa"/>
      </w:tblCellMar>
    </w:tblPr>
  </w:style>
  <w:style w:type="paragraph" w:styleId="5">
    <w:name w:val="Normal Indent"/>
    <w:basedOn w:val="1"/>
    <w:qFormat/>
    <w:uiPriority w:val="0"/>
    <w:pPr>
      <w:widowControl/>
      <w:ind w:firstLine="420"/>
      <w:jc w:val="left"/>
    </w:pPr>
    <w:rPr>
      <w:kern w:val="0"/>
      <w:sz w:val="20"/>
      <w:szCs w:val="20"/>
    </w:rPr>
  </w:style>
  <w:style w:type="paragraph" w:styleId="6">
    <w:name w:val="annotation text"/>
    <w:basedOn w:val="1"/>
    <w:unhideWhenUsed/>
    <w:qFormat/>
    <w:uiPriority w:val="0"/>
    <w:pPr>
      <w:jc w:val="left"/>
    </w:pPr>
  </w:style>
  <w:style w:type="paragraph" w:styleId="7">
    <w:name w:val="Body Text"/>
    <w:basedOn w:val="1"/>
    <w:next w:val="1"/>
    <w:qFormat/>
    <w:uiPriority w:val="99"/>
    <w:pPr>
      <w:spacing w:after="120"/>
    </w:pPr>
  </w:style>
  <w:style w:type="paragraph" w:styleId="8">
    <w:name w:val="Balloon Text"/>
    <w:basedOn w:val="1"/>
    <w:semiHidden/>
    <w:qFormat/>
    <w:uiPriority w:val="0"/>
    <w:rPr>
      <w:sz w:val="18"/>
      <w:szCs w:val="18"/>
    </w:rPr>
  </w:style>
  <w:style w:type="paragraph" w:styleId="9">
    <w:name w:val="footer"/>
    <w:basedOn w:val="1"/>
    <w:link w:val="29"/>
    <w:qFormat/>
    <w:uiPriority w:val="99"/>
    <w:pPr>
      <w:tabs>
        <w:tab w:val="center" w:pos="4153"/>
        <w:tab w:val="right" w:pos="8306"/>
      </w:tabs>
      <w:snapToGrid w:val="0"/>
      <w:jc w:val="left"/>
    </w:pPr>
    <w:rPr>
      <w:rFonts w:ascii="Calibri" w:hAnsi="Calibri"/>
      <w:sz w:val="18"/>
      <w:szCs w:val="18"/>
    </w:rPr>
  </w:style>
  <w:style w:type="paragraph" w:styleId="10">
    <w:name w:val="header"/>
    <w:basedOn w:val="1"/>
    <w:link w:val="30"/>
    <w:qFormat/>
    <w:uiPriority w:val="0"/>
    <w:pPr>
      <w:pBdr>
        <w:bottom w:val="single" w:color="auto" w:sz="6" w:space="1"/>
      </w:pBdr>
      <w:tabs>
        <w:tab w:val="center" w:pos="4153"/>
        <w:tab w:val="right" w:pos="8306"/>
      </w:tabs>
      <w:snapToGrid w:val="0"/>
      <w:jc w:val="center"/>
    </w:pPr>
    <w:rPr>
      <w:rFonts w:ascii="Calibri" w:hAnsi="Calibri"/>
      <w:sz w:val="18"/>
      <w:szCs w:val="18"/>
    </w:rPr>
  </w:style>
  <w:style w:type="paragraph" w:styleId="11">
    <w:name w:val="Body Text 2"/>
    <w:basedOn w:val="1"/>
    <w:qFormat/>
    <w:uiPriority w:val="0"/>
    <w:rPr>
      <w:rFonts w:ascii="宋体" w:hAnsi="宋体"/>
      <w:b/>
      <w:bCs/>
    </w:rPr>
  </w:style>
  <w:style w:type="paragraph" w:styleId="12">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13">
    <w:name w:val="Title"/>
    <w:basedOn w:val="1"/>
    <w:next w:val="1"/>
    <w:link w:val="31"/>
    <w:qFormat/>
    <w:uiPriority w:val="0"/>
    <w:pPr>
      <w:spacing w:before="240" w:after="60"/>
      <w:jc w:val="center"/>
      <w:outlineLvl w:val="0"/>
    </w:pPr>
    <w:rPr>
      <w:rFonts w:ascii="Cambria" w:hAnsi="Cambria"/>
      <w:b/>
      <w:bCs/>
      <w:sz w:val="32"/>
      <w:szCs w:val="32"/>
    </w:rPr>
  </w:style>
  <w:style w:type="table" w:styleId="15">
    <w:name w:val="Table Grid"/>
    <w:basedOn w:val="14"/>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7">
    <w:name w:val="Strong"/>
    <w:basedOn w:val="16"/>
    <w:qFormat/>
    <w:uiPriority w:val="0"/>
    <w:rPr>
      <w:b/>
      <w:bCs/>
    </w:rPr>
  </w:style>
  <w:style w:type="character" w:styleId="18">
    <w:name w:val="page number"/>
    <w:qFormat/>
    <w:uiPriority w:val="0"/>
    <w:rPr>
      <w:rFonts w:ascii="Times New Roman" w:hAnsi="Times New Roman" w:eastAsia="宋体" w:cs="Times New Roman"/>
    </w:rPr>
  </w:style>
  <w:style w:type="character" w:styleId="19">
    <w:name w:val="FollowedHyperlink"/>
    <w:qFormat/>
    <w:uiPriority w:val="0"/>
    <w:rPr>
      <w:color w:val="0000FF"/>
      <w:u w:val="single"/>
    </w:rPr>
  </w:style>
  <w:style w:type="character" w:styleId="20">
    <w:name w:val="Hyperlink"/>
    <w:qFormat/>
    <w:uiPriority w:val="0"/>
    <w:rPr>
      <w:color w:val="0000FF"/>
      <w:u w:val="single"/>
    </w:rPr>
  </w:style>
  <w:style w:type="paragraph" w:customStyle="1" w:styleId="21">
    <w:name w:val="首行缩进"/>
    <w:basedOn w:val="1"/>
    <w:qFormat/>
    <w:uiPriority w:val="0"/>
    <w:pPr>
      <w:autoSpaceDE w:val="0"/>
      <w:autoSpaceDN w:val="0"/>
      <w:adjustRightInd w:val="0"/>
      <w:spacing w:line="360" w:lineRule="auto"/>
      <w:ind w:firstLine="720"/>
      <w:jc w:val="left"/>
    </w:pPr>
    <w:rPr>
      <w:rFonts w:ascii="Arial" w:hAnsi="Arial"/>
      <w:szCs w:val="21"/>
    </w:rPr>
  </w:style>
  <w:style w:type="paragraph" w:customStyle="1" w:styleId="22">
    <w:name w:val="表格文字"/>
    <w:basedOn w:val="1"/>
    <w:qFormat/>
    <w:uiPriority w:val="0"/>
    <w:pPr>
      <w:jc w:val="left"/>
    </w:pPr>
    <w:rPr>
      <w:bCs/>
      <w:spacing w:val="10"/>
      <w:kern w:val="0"/>
      <w:sz w:val="24"/>
    </w:rPr>
  </w:style>
  <w:style w:type="paragraph" w:customStyle="1" w:styleId="23">
    <w:name w:val="w"/>
    <w:basedOn w:val="1"/>
    <w:qFormat/>
    <w:uiPriority w:val="0"/>
    <w:pPr>
      <w:widowControl/>
      <w:spacing w:before="100" w:beforeAutospacing="1" w:after="100" w:afterAutospacing="1" w:line="375" w:lineRule="atLeast"/>
      <w:jc w:val="left"/>
    </w:pPr>
    <w:rPr>
      <w:rFonts w:ascii="宋体" w:hAnsi="宋体"/>
      <w:color w:val="000000"/>
      <w:kern w:val="0"/>
      <w:sz w:val="24"/>
    </w:rPr>
  </w:style>
  <w:style w:type="paragraph" w:customStyle="1" w:styleId="24">
    <w:name w:val="正文缩进1"/>
    <w:basedOn w:val="1"/>
    <w:qFormat/>
    <w:uiPriority w:val="0"/>
    <w:pPr>
      <w:widowControl/>
      <w:ind w:firstLine="420"/>
      <w:jc w:val="left"/>
    </w:pPr>
    <w:rPr>
      <w:kern w:val="0"/>
      <w:sz w:val="20"/>
      <w:szCs w:val="20"/>
    </w:rPr>
  </w:style>
  <w:style w:type="paragraph" w:customStyle="1" w:styleId="25">
    <w:name w:val="Default Paragraph Font Para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26">
    <w:name w:val="Other|1"/>
    <w:basedOn w:val="1"/>
    <w:qFormat/>
    <w:uiPriority w:val="0"/>
    <w:pPr>
      <w:spacing w:line="239" w:lineRule="exact"/>
    </w:pPr>
    <w:rPr>
      <w:rFonts w:ascii="宋体" w:hAnsi="宋体" w:cs="宋体"/>
      <w:sz w:val="19"/>
      <w:szCs w:val="19"/>
      <w:lang w:val="zh-TW" w:eastAsia="zh-TW" w:bidi="zh-TW"/>
    </w:rPr>
  </w:style>
  <w:style w:type="paragraph" w:customStyle="1" w:styleId="27">
    <w:name w:val="List Paragraph"/>
    <w:basedOn w:val="1"/>
    <w:qFormat/>
    <w:uiPriority w:val="99"/>
    <w:pPr>
      <w:ind w:firstLine="420" w:firstLineChars="200"/>
    </w:pPr>
  </w:style>
  <w:style w:type="paragraph" w:customStyle="1" w:styleId="28">
    <w:name w:val="null3"/>
    <w:hidden/>
    <w:qFormat/>
    <w:uiPriority w:val="0"/>
    <w:rPr>
      <w:rFonts w:hint="eastAsia" w:ascii="Calibri" w:hAnsi="Calibri" w:eastAsia="宋体" w:cs="黑体"/>
      <w:lang w:val="en-US" w:eastAsia="zh-CN" w:bidi="ar-SA"/>
    </w:rPr>
  </w:style>
  <w:style w:type="character" w:customStyle="1" w:styleId="29">
    <w:name w:val="页脚 Char"/>
    <w:link w:val="9"/>
    <w:qFormat/>
    <w:uiPriority w:val="99"/>
    <w:rPr>
      <w:kern w:val="2"/>
      <w:sz w:val="18"/>
      <w:szCs w:val="18"/>
    </w:rPr>
  </w:style>
  <w:style w:type="character" w:customStyle="1" w:styleId="30">
    <w:name w:val="页眉 Char"/>
    <w:link w:val="10"/>
    <w:qFormat/>
    <w:uiPriority w:val="0"/>
    <w:rPr>
      <w:kern w:val="2"/>
      <w:sz w:val="18"/>
      <w:szCs w:val="18"/>
    </w:rPr>
  </w:style>
  <w:style w:type="character" w:customStyle="1" w:styleId="31">
    <w:name w:val="标题 Char"/>
    <w:link w:val="13"/>
    <w:qFormat/>
    <w:uiPriority w:val="0"/>
    <w:rPr>
      <w:rFonts w:ascii="Cambria" w:hAnsi="Cambria" w:cs="Times New Roman"/>
      <w:b/>
      <w:bCs/>
      <w:kern w:val="2"/>
      <w:sz w:val="32"/>
      <w:szCs w:val="32"/>
    </w:rPr>
  </w:style>
  <w:style w:type="character" w:customStyle="1" w:styleId="32">
    <w:name w:val="font21"/>
    <w:basedOn w:val="16"/>
    <w:qFormat/>
    <w:uiPriority w:val="0"/>
    <w:rPr>
      <w:rFonts w:hint="eastAsia" w:ascii="宋体" w:hAnsi="宋体" w:eastAsia="宋体" w:cs="宋体"/>
      <w:color w:val="000000"/>
      <w:sz w:val="20"/>
      <w:szCs w:val="20"/>
      <w:u w:val="none"/>
    </w:rPr>
  </w:style>
  <w:style w:type="character" w:customStyle="1" w:styleId="33">
    <w:name w:val="green"/>
    <w:basedOn w:val="16"/>
    <w:qFormat/>
    <w:uiPriority w:val="0"/>
  </w:style>
  <w:style w:type="character" w:customStyle="1" w:styleId="34">
    <w:name w:val="font41"/>
    <w:basedOn w:val="16"/>
    <w:qFormat/>
    <w:uiPriority w:val="0"/>
    <w:rPr>
      <w:rFonts w:hint="eastAsia" w:ascii="宋体" w:hAnsi="宋体" w:eastAsia="宋体" w:cs="宋体"/>
      <w:b/>
      <w:bCs/>
      <w:color w:val="000000"/>
      <w:sz w:val="20"/>
      <w:szCs w:val="20"/>
      <w:u w:val="none"/>
    </w:rPr>
  </w:style>
  <w:style w:type="character" w:customStyle="1" w:styleId="35">
    <w:name w:val="font11"/>
    <w:basedOn w:val="16"/>
    <w:qFormat/>
    <w:uiPriority w:val="0"/>
    <w:rPr>
      <w:rFonts w:hint="eastAsia" w:ascii="宋体" w:hAnsi="宋体" w:eastAsia="宋体" w:cs="宋体"/>
      <w:b/>
      <w:color w:val="FF0000"/>
      <w:sz w:val="24"/>
      <w:szCs w:val="24"/>
      <w:u w:val="none"/>
    </w:rPr>
  </w:style>
  <w:style w:type="character" w:customStyle="1" w:styleId="36">
    <w:name w:val="edittexttarea"/>
    <w:basedOn w:val="16"/>
    <w:qFormat/>
    <w:uiPriority w:val="0"/>
  </w:style>
  <w:style w:type="character" w:customStyle="1" w:styleId="37">
    <w:name w:val="font01"/>
    <w:basedOn w:val="16"/>
    <w:qFormat/>
    <w:uiPriority w:val="0"/>
    <w:rPr>
      <w:rFonts w:ascii="Arial" w:hAnsi="Arial" w:cs="Arial"/>
      <w:b/>
      <w:color w:val="000000"/>
      <w:sz w:val="24"/>
      <w:szCs w:val="24"/>
      <w:u w:val="none"/>
    </w:rPr>
  </w:style>
  <w:style w:type="character" w:customStyle="1" w:styleId="38">
    <w:name w:val="font31"/>
    <w:basedOn w:val="16"/>
    <w:qFormat/>
    <w:uiPriority w:val="0"/>
    <w:rPr>
      <w:rFonts w:hint="eastAsia" w:ascii="宋体" w:hAnsi="宋体" w:eastAsia="宋体" w:cs="宋体"/>
      <w:b/>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64</Pages>
  <Words>2967</Words>
  <Characters>3254</Characters>
  <Lines>264</Lines>
  <Paragraphs>74</Paragraphs>
  <TotalTime>2</TotalTime>
  <ScaleCrop>false</ScaleCrop>
  <LinksUpToDate>false</LinksUpToDate>
  <CharactersWithSpaces>3304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2023-09-18T02:54:00Z</dcterms:created>
  <dc:creator>X</dc:creator>
  <cp:lastModifiedBy>San.</cp:lastModifiedBy>
  <cp:lastPrinted>2020-05-19T03:02:00Z</cp:lastPrinted>
  <dcterms:modified xsi:type="dcterms:W3CDTF">2025-12-22T01:46:54Z</dcterms:modified>
  <dc:title>福建省政府采购项目</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3145B84DB65C4DA4B520B4323478886C_13</vt:lpwstr>
  </property>
  <property fmtid="{D5CDD505-2E9C-101B-9397-08002B2CF9AE}" pid="4" name="KSOTemplateDocerSaveRecord">
    <vt:lpwstr>eyJoZGlkIjoiYTk5MGZjNTQyNzcxYTIyNWRhMDkwNTFmMjNjNmNlODUiLCJ1c2VySWQiOiIzODM1Nzg1MzAifQ==</vt:lpwstr>
  </property>
</Properties>
</file>