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6092DB">
      <w:pPr>
        <w:pStyle w:val="4"/>
        <w:widowControl/>
        <w:spacing w:before="75" w:beforeAutospacing="0" w:after="75" w:afterAutospacing="0"/>
        <w:ind w:firstLine="3112" w:firstLineChars="1000"/>
        <w:rPr>
          <w:color w:val="auto"/>
        </w:rPr>
      </w:pPr>
      <w:r>
        <w:rPr>
          <w:rStyle w:val="7"/>
          <w:rFonts w:hint="eastAsia" w:ascii="宋体" w:hAnsi="宋体" w:cs="宋体"/>
          <w:color w:val="auto"/>
          <w:sz w:val="31"/>
          <w:szCs w:val="31"/>
          <w:lang w:val="en-US" w:eastAsia="zh-CN"/>
        </w:rPr>
        <w:t>招标公告</w:t>
      </w:r>
      <w:r>
        <w:rPr>
          <w:color w:val="auto"/>
        </w:rPr>
        <w:t> </w:t>
      </w:r>
    </w:p>
    <w:p w14:paraId="4672BF7A">
      <w:pPr>
        <w:pStyle w:val="4"/>
        <w:widowControl/>
        <w:wordWrap/>
        <w:adjustRightInd/>
        <w:spacing w:before="75" w:beforeAutospacing="0" w:after="75" w:afterAutospacing="0" w:line="380" w:lineRule="exact"/>
        <w:ind w:firstLine="480"/>
        <w:textAlignment w:val="auto"/>
        <w:rPr>
          <w:color w:val="auto"/>
        </w:rPr>
      </w:pPr>
      <w:r>
        <w:rPr>
          <w:rFonts w:hint="eastAsia" w:ascii="宋体" w:hAnsi="宋体" w:cs="宋体"/>
          <w:b/>
          <w:bCs/>
          <w:color w:val="auto"/>
          <w:u w:val="single"/>
          <w:lang w:eastAsia="zh-CN"/>
        </w:rPr>
        <w:t>泉州思诺招标有限公司</w:t>
      </w:r>
      <w:r>
        <w:rPr>
          <w:rFonts w:hint="eastAsia" w:ascii="宋体" w:hAnsi="宋体" w:cs="宋体"/>
          <w:color w:val="auto"/>
        </w:rPr>
        <w:t>采用</w:t>
      </w:r>
      <w:r>
        <w:rPr>
          <w:rFonts w:hint="eastAsia" w:ascii="宋体" w:hAnsi="宋体" w:cs="宋体"/>
          <w:b/>
          <w:bCs/>
          <w:color w:val="auto"/>
          <w:u w:val="single"/>
        </w:rPr>
        <w:t>公开招标方式</w:t>
      </w:r>
      <w:r>
        <w:rPr>
          <w:rFonts w:hint="eastAsia" w:ascii="宋体" w:hAnsi="宋体" w:cs="宋体"/>
          <w:color w:val="auto"/>
        </w:rPr>
        <w:t>组织</w:t>
      </w:r>
      <w:bookmarkStart w:id="0" w:name="_GoBack"/>
      <w:r>
        <w:rPr>
          <w:rFonts w:hint="eastAsia" w:ascii="宋体" w:hAnsi="宋体" w:cs="宋体"/>
          <w:b/>
          <w:bCs/>
          <w:color w:val="auto"/>
          <w:u w:val="single"/>
          <w:lang w:eastAsia="zh-CN"/>
        </w:rPr>
        <w:t>南安市医院2026年度工作服床上用品采购项目</w:t>
      </w:r>
      <w:bookmarkEnd w:id="0"/>
      <w:r>
        <w:rPr>
          <w:rFonts w:hint="eastAsia" w:ascii="宋体" w:hAnsi="宋体" w:cs="宋体"/>
          <w:color w:val="auto"/>
        </w:rPr>
        <w:t>（以下简称：“本项目”）的政府采购活动，现邀请供应商参加投标。</w:t>
      </w:r>
    </w:p>
    <w:p w14:paraId="6A7EDB8C">
      <w:pPr>
        <w:pStyle w:val="4"/>
        <w:widowControl/>
        <w:wordWrap/>
        <w:adjustRightInd/>
        <w:spacing w:before="75" w:beforeAutospacing="0" w:after="75" w:afterAutospacing="0" w:line="380" w:lineRule="exact"/>
        <w:ind w:firstLine="480"/>
        <w:textAlignment w:val="auto"/>
        <w:rPr>
          <w:color w:val="auto"/>
        </w:rPr>
      </w:pPr>
      <w:r>
        <w:rPr>
          <w:rFonts w:hint="eastAsia" w:ascii="宋体" w:hAnsi="宋体" w:cs="宋体"/>
          <w:color w:val="auto"/>
        </w:rPr>
        <w:t>1、招标编号：</w:t>
      </w:r>
      <w:r>
        <w:rPr>
          <w:rFonts w:hint="eastAsia" w:ascii="宋体" w:hAnsi="宋体" w:cs="宋体"/>
          <w:color w:val="auto"/>
          <w:u w:val="single"/>
          <w:lang w:eastAsia="zh-CN"/>
        </w:rPr>
        <w:t>QZSNZB2026003</w:t>
      </w:r>
      <w:r>
        <w:rPr>
          <w:rFonts w:hint="eastAsia" w:ascii="宋体" w:hAnsi="宋体" w:cs="宋体"/>
          <w:color w:val="auto"/>
        </w:rPr>
        <w:t>。</w:t>
      </w:r>
    </w:p>
    <w:p w14:paraId="31B74D91">
      <w:pPr>
        <w:pStyle w:val="4"/>
        <w:widowControl/>
        <w:wordWrap/>
        <w:adjustRightInd/>
        <w:spacing w:before="75" w:beforeAutospacing="0" w:after="75" w:afterAutospacing="0" w:line="380" w:lineRule="exact"/>
        <w:ind w:firstLine="480"/>
        <w:textAlignment w:val="auto"/>
        <w:rPr>
          <w:color w:val="auto"/>
        </w:rPr>
      </w:pPr>
      <w:r>
        <w:rPr>
          <w:rFonts w:hint="eastAsia" w:ascii="宋体" w:hAnsi="宋体" w:cs="宋体"/>
          <w:color w:val="auto"/>
          <w:lang w:val="en-US" w:eastAsia="zh-CN"/>
        </w:rPr>
        <w:t>2</w:t>
      </w:r>
      <w:r>
        <w:rPr>
          <w:rFonts w:hint="eastAsia" w:ascii="宋体" w:hAnsi="宋体" w:cs="宋体"/>
          <w:color w:val="auto"/>
        </w:rPr>
        <w:t>、招标内容及要求：详见《采购标的一览表》及招标文件第五章。</w:t>
      </w:r>
    </w:p>
    <w:p w14:paraId="6C3402F3">
      <w:pPr>
        <w:pStyle w:val="4"/>
        <w:widowControl/>
        <w:wordWrap/>
        <w:adjustRightInd/>
        <w:spacing w:before="75" w:beforeAutospacing="0" w:after="75" w:afterAutospacing="0" w:line="380" w:lineRule="exact"/>
        <w:ind w:firstLine="480"/>
        <w:textAlignment w:val="auto"/>
        <w:rPr>
          <w:color w:val="auto"/>
        </w:rPr>
      </w:pPr>
      <w:r>
        <w:rPr>
          <w:rFonts w:hint="eastAsia" w:ascii="宋体" w:hAnsi="宋体" w:cs="宋体"/>
          <w:color w:val="auto"/>
          <w:lang w:val="en-US" w:eastAsia="zh-CN"/>
        </w:rPr>
        <w:t>3</w:t>
      </w:r>
      <w:r>
        <w:rPr>
          <w:rFonts w:hint="eastAsia" w:ascii="宋体" w:hAnsi="宋体" w:cs="宋体"/>
          <w:color w:val="auto"/>
        </w:rPr>
        <w:t>、需要落实的政府采购政策：信用记录，适用于（合同包一），按照下列规定执行：投标人应在招标文件要求的截止时点前分别通过“信用中国”网站（www.creditchina.gov.cn）、中国政府采购网（www.ccgp.gov.cn）查询并打印相应的信用记录（以下简称：“投标人提供的查询结果”），投标人提供的查询结果应为其通过上述网站获取的信用信息查询结果原始页面的打印件（或截图）。查询结果存在投标人应被拒绝参与政府采购活动相关信息的，其资格审查不合格。</w:t>
      </w:r>
    </w:p>
    <w:p w14:paraId="7C41C436">
      <w:pPr>
        <w:pStyle w:val="4"/>
        <w:widowControl/>
        <w:wordWrap/>
        <w:adjustRightInd/>
        <w:spacing w:before="75" w:beforeAutospacing="0" w:after="75" w:afterAutospacing="0" w:line="380" w:lineRule="exact"/>
        <w:ind w:firstLine="480"/>
        <w:textAlignment w:val="auto"/>
        <w:rPr>
          <w:color w:val="auto"/>
        </w:rPr>
      </w:pPr>
      <w:r>
        <w:rPr>
          <w:rFonts w:hint="eastAsia" w:ascii="宋体" w:hAnsi="宋体" w:cs="宋体"/>
          <w:color w:val="auto"/>
          <w:lang w:val="en-US" w:eastAsia="zh-CN"/>
        </w:rPr>
        <w:t>4</w:t>
      </w:r>
      <w:r>
        <w:rPr>
          <w:rFonts w:hint="eastAsia" w:ascii="宋体" w:hAnsi="宋体" w:cs="宋体"/>
          <w:color w:val="auto"/>
        </w:rPr>
        <w:t>、投标人的资格要求</w:t>
      </w:r>
    </w:p>
    <w:p w14:paraId="4E5EB71E">
      <w:pPr>
        <w:pStyle w:val="4"/>
        <w:widowControl/>
        <w:wordWrap/>
        <w:adjustRightInd/>
        <w:spacing w:before="75" w:beforeAutospacing="0" w:after="75" w:afterAutospacing="0" w:line="380" w:lineRule="exact"/>
        <w:ind w:firstLine="480"/>
        <w:textAlignment w:val="auto"/>
        <w:rPr>
          <w:rFonts w:ascii="宋体" w:hAnsi="宋体" w:cs="宋体"/>
          <w:color w:val="auto"/>
        </w:rPr>
      </w:pPr>
      <w:r>
        <w:rPr>
          <w:rFonts w:hint="eastAsia" w:ascii="宋体" w:hAnsi="宋体" w:cs="宋体"/>
          <w:color w:val="auto"/>
          <w:lang w:val="en-US" w:eastAsia="zh-CN"/>
        </w:rPr>
        <w:t>4</w:t>
      </w:r>
      <w:r>
        <w:rPr>
          <w:rFonts w:hint="eastAsia" w:ascii="宋体" w:hAnsi="宋体" w:cs="宋体"/>
          <w:color w:val="auto"/>
        </w:rPr>
        <w:t>.1投标人符合《中华人民共和国政府采购法》第二十二条规定的条件；</w:t>
      </w:r>
    </w:p>
    <w:p w14:paraId="0F8FF247">
      <w:pPr>
        <w:pStyle w:val="4"/>
        <w:widowControl/>
        <w:wordWrap/>
        <w:adjustRightInd/>
        <w:spacing w:before="75" w:beforeAutospacing="0" w:after="75" w:afterAutospacing="0" w:line="380" w:lineRule="exact"/>
        <w:ind w:firstLine="480"/>
        <w:textAlignment w:val="auto"/>
        <w:rPr>
          <w:rFonts w:hint="eastAsia" w:ascii="宋体" w:hAnsi="宋体" w:cs="宋体"/>
          <w:color w:val="auto"/>
          <w:kern w:val="0"/>
          <w:sz w:val="24"/>
          <w:highlight w:val="none"/>
          <w:shd w:val="clear" w:color="auto" w:fill="FFFFFF"/>
          <w:lang w:eastAsia="zh-CN"/>
        </w:rPr>
      </w:pPr>
      <w:r>
        <w:rPr>
          <w:rFonts w:hint="eastAsia" w:ascii="宋体" w:hAnsi="宋体" w:cs="宋体"/>
          <w:color w:val="auto"/>
          <w:lang w:val="en-US" w:eastAsia="zh-CN"/>
        </w:rPr>
        <w:t>4.2</w:t>
      </w:r>
      <w:r>
        <w:rPr>
          <w:rFonts w:hint="eastAsia" w:ascii="宋体" w:hAnsi="宋体" w:cs="宋体"/>
          <w:color w:val="auto"/>
          <w:kern w:val="0"/>
          <w:sz w:val="24"/>
          <w:highlight w:val="none"/>
          <w:shd w:val="clear" w:color="auto" w:fill="FFFFFF"/>
        </w:rPr>
        <w:t>特定条件</w:t>
      </w:r>
      <w:r>
        <w:rPr>
          <w:rFonts w:hint="eastAsia" w:ascii="宋体" w:hAnsi="宋体" w:cs="宋体"/>
          <w:color w:val="auto"/>
          <w:kern w:val="0"/>
          <w:sz w:val="24"/>
          <w:highlight w:val="none"/>
          <w:shd w:val="clear" w:color="auto" w:fill="FFFFFF"/>
          <w:lang w:eastAsia="zh-CN"/>
        </w:rPr>
        <w:t>：</w:t>
      </w:r>
    </w:p>
    <w:tbl>
      <w:tblPr>
        <w:tblStyle w:val="5"/>
        <w:tblW w:w="4999"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3787"/>
        <w:gridCol w:w="4733"/>
      </w:tblGrid>
      <w:tr w14:paraId="4061FC6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222" w:type="pct"/>
            <w:vAlign w:val="center"/>
          </w:tcPr>
          <w:p w14:paraId="10CDB7CF">
            <w:pPr>
              <w:pStyle w:val="8"/>
              <w:jc w:val="center"/>
              <w:rPr>
                <w:rFonts w:hint="eastAsia" w:ascii="宋体" w:hAnsi="宋体" w:eastAsia="宋体" w:cs="宋体"/>
                <w:color w:val="auto"/>
                <w:sz w:val="24"/>
                <w:szCs w:val="24"/>
              </w:rPr>
            </w:pPr>
            <w:r>
              <w:rPr>
                <w:rFonts w:hint="eastAsia" w:ascii="宋体" w:hAnsi="宋体" w:eastAsia="宋体" w:cs="宋体"/>
                <w:color w:val="auto"/>
                <w:sz w:val="24"/>
                <w:szCs w:val="24"/>
              </w:rPr>
              <w:t>资格审查要求概况</w:t>
            </w:r>
          </w:p>
        </w:tc>
        <w:tc>
          <w:tcPr>
            <w:tcW w:w="2777" w:type="pct"/>
            <w:vAlign w:val="center"/>
          </w:tcPr>
          <w:p w14:paraId="326615A5">
            <w:pPr>
              <w:pStyle w:val="8"/>
              <w:jc w:val="center"/>
              <w:rPr>
                <w:rFonts w:hint="eastAsia" w:ascii="宋体" w:hAnsi="宋体" w:eastAsia="宋体" w:cs="宋体"/>
                <w:color w:val="auto"/>
                <w:sz w:val="24"/>
                <w:szCs w:val="24"/>
              </w:rPr>
            </w:pPr>
            <w:r>
              <w:rPr>
                <w:rFonts w:hint="eastAsia" w:ascii="宋体" w:hAnsi="宋体" w:eastAsia="宋体" w:cs="宋体"/>
                <w:color w:val="auto"/>
                <w:sz w:val="24"/>
                <w:szCs w:val="24"/>
              </w:rPr>
              <w:t>评审点具体描述</w:t>
            </w:r>
          </w:p>
        </w:tc>
      </w:tr>
      <w:tr w14:paraId="6A016F5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222" w:type="pct"/>
            <w:vAlign w:val="center"/>
          </w:tcPr>
          <w:p w14:paraId="525E449C">
            <w:pPr>
              <w:pStyle w:val="8"/>
              <w:jc w:val="center"/>
              <w:rPr>
                <w:rFonts w:hint="eastAsia" w:ascii="宋体" w:hAnsi="宋体" w:eastAsia="宋体" w:cs="宋体"/>
                <w:color w:val="auto"/>
                <w:sz w:val="24"/>
                <w:szCs w:val="24"/>
              </w:rPr>
            </w:pPr>
            <w:r>
              <w:rPr>
                <w:rFonts w:hint="eastAsia" w:ascii="宋体" w:hAnsi="宋体" w:eastAsia="宋体" w:cs="宋体"/>
                <w:color w:val="auto"/>
                <w:sz w:val="24"/>
                <w:szCs w:val="24"/>
              </w:rPr>
              <w:t>资格承诺函</w:t>
            </w:r>
          </w:p>
        </w:tc>
        <w:tc>
          <w:tcPr>
            <w:tcW w:w="2777" w:type="pct"/>
            <w:vAlign w:val="top"/>
          </w:tcPr>
          <w:p w14:paraId="69BA9B45">
            <w:pPr>
              <w:pStyle w:val="8"/>
              <w:jc w:val="both"/>
              <w:rPr>
                <w:rFonts w:hint="eastAsia" w:ascii="宋体" w:hAnsi="宋体" w:eastAsia="宋体" w:cs="宋体"/>
                <w:color w:val="auto"/>
                <w:sz w:val="24"/>
                <w:szCs w:val="24"/>
              </w:rPr>
            </w:pPr>
            <w:r>
              <w:rPr>
                <w:rFonts w:hint="eastAsia" w:ascii="宋体" w:hAnsi="宋体" w:eastAsia="宋体" w:cs="宋体"/>
                <w:color w:val="auto"/>
                <w:sz w:val="24"/>
                <w:szCs w:val="24"/>
              </w:rPr>
              <w:t>①本采购包允许供应商采用资格承诺制。采用资格承诺制的供应商，应当根据投标(响应)格式文件要求提供资格承诺函，无需提供《政府采购法实施条例》第十七条第一款规定的一般资格条件证明材料；资格承诺函不符合采购文件要求的，视为未按照采购文件规定提交供应商的资格及资信文件，按资格审查不合格处理。②采购项目有特殊资格要求的，供应商还应按要求提供相应的证明材料。</w:t>
            </w:r>
          </w:p>
        </w:tc>
      </w:tr>
    </w:tbl>
    <w:p w14:paraId="22447F38">
      <w:pPr>
        <w:pStyle w:val="4"/>
        <w:widowControl/>
        <w:wordWrap/>
        <w:adjustRightInd/>
        <w:spacing w:before="75" w:beforeAutospacing="0" w:after="75" w:afterAutospacing="0" w:line="380" w:lineRule="exact"/>
        <w:ind w:firstLine="480" w:firstLineChars="200"/>
        <w:textAlignment w:val="auto"/>
        <w:rPr>
          <w:rFonts w:hint="eastAsia" w:ascii="宋体" w:hAnsi="宋体" w:cs="宋体"/>
          <w:color w:val="auto"/>
        </w:rPr>
      </w:pPr>
      <w:r>
        <w:rPr>
          <w:rFonts w:hint="eastAsia" w:ascii="宋体" w:hAnsi="宋体" w:cs="宋体"/>
          <w:color w:val="auto"/>
          <w:lang w:val="en-US" w:eastAsia="zh-CN"/>
        </w:rPr>
        <w:t>4</w:t>
      </w:r>
      <w:r>
        <w:rPr>
          <w:rFonts w:hint="eastAsia" w:ascii="宋体" w:hAnsi="宋体" w:cs="宋体"/>
          <w:color w:val="auto"/>
        </w:rPr>
        <w:t>.</w:t>
      </w:r>
      <w:r>
        <w:rPr>
          <w:rFonts w:hint="eastAsia" w:ascii="宋体" w:hAnsi="宋体" w:cs="宋体"/>
          <w:color w:val="auto"/>
          <w:lang w:val="en-US" w:eastAsia="zh-CN"/>
        </w:rPr>
        <w:t>3</w:t>
      </w:r>
      <w:r>
        <w:rPr>
          <w:rFonts w:hint="eastAsia" w:ascii="宋体" w:hAnsi="宋体" w:cs="宋体"/>
          <w:color w:val="auto"/>
        </w:rPr>
        <w:t>本项目不接受联合体投标。</w:t>
      </w:r>
    </w:p>
    <w:p w14:paraId="5C8AC2BA">
      <w:pPr>
        <w:pStyle w:val="4"/>
        <w:widowControl/>
        <w:wordWrap/>
        <w:adjustRightInd/>
        <w:spacing w:before="75" w:beforeAutospacing="0" w:after="75" w:afterAutospacing="0" w:line="380" w:lineRule="exact"/>
        <w:ind w:firstLine="482" w:firstLineChars="200"/>
        <w:textAlignment w:val="auto"/>
        <w:rPr>
          <w:color w:val="auto"/>
        </w:rPr>
      </w:pPr>
      <w:r>
        <w:rPr>
          <w:rStyle w:val="7"/>
          <w:rFonts w:hint="eastAsia" w:ascii="宋体" w:hAnsi="宋体" w:cs="宋体"/>
          <w:color w:val="auto"/>
        </w:rPr>
        <w:t>※根据上述资格要求，投标文件中应提交的“投标人的资格及资信证明文件”详见招标文件第四章。</w:t>
      </w:r>
    </w:p>
    <w:p w14:paraId="4EC2DEA9">
      <w:pPr>
        <w:pStyle w:val="4"/>
        <w:widowControl/>
        <w:wordWrap/>
        <w:adjustRightInd/>
        <w:spacing w:before="75" w:beforeAutospacing="0" w:after="75" w:afterAutospacing="0" w:line="380" w:lineRule="exact"/>
        <w:ind w:firstLine="480"/>
        <w:textAlignment w:val="auto"/>
        <w:rPr>
          <w:rFonts w:ascii="宋体" w:hAnsi="宋体" w:cs="宋体"/>
          <w:color w:val="auto"/>
        </w:rPr>
      </w:pPr>
      <w:r>
        <w:rPr>
          <w:rFonts w:hint="eastAsia" w:ascii="宋体" w:hAnsi="宋体" w:cs="宋体"/>
          <w:color w:val="auto"/>
          <w:lang w:val="en-US" w:eastAsia="zh-CN"/>
        </w:rPr>
        <w:t>5</w:t>
      </w:r>
      <w:r>
        <w:rPr>
          <w:rFonts w:hint="eastAsia" w:ascii="宋体" w:hAnsi="宋体" w:cs="宋体"/>
          <w:color w:val="auto"/>
        </w:rPr>
        <w:t>、凡愿意参加投标的合格供应商请于招标文件公告时间及发售时间内至</w:t>
      </w:r>
      <w:r>
        <w:rPr>
          <w:rFonts w:hint="eastAsia" w:ascii="宋体" w:hAnsi="宋体" w:cs="宋体"/>
          <w:color w:val="auto"/>
          <w:lang w:eastAsia="zh-CN"/>
        </w:rPr>
        <w:t>泉州思诺招标有限公司</w:t>
      </w:r>
      <w:r>
        <w:rPr>
          <w:rFonts w:hint="eastAsia" w:ascii="宋体" w:hAnsi="宋体" w:cs="宋体"/>
          <w:color w:val="auto"/>
        </w:rPr>
        <w:t>购买招标文件。招标文件每份售价300元，售后不退。工作时间每天上午8：</w:t>
      </w:r>
      <w:r>
        <w:rPr>
          <w:rFonts w:hint="eastAsia" w:ascii="宋体" w:hAnsi="宋体" w:cs="宋体"/>
          <w:color w:val="auto"/>
          <w:lang w:val="en-US" w:eastAsia="zh-CN"/>
        </w:rPr>
        <w:t>00</w:t>
      </w:r>
      <w:r>
        <w:rPr>
          <w:rFonts w:hint="eastAsia" w:ascii="宋体" w:hAnsi="宋体" w:cs="宋体"/>
          <w:color w:val="auto"/>
        </w:rPr>
        <w:t>～12：00时，下午</w:t>
      </w:r>
      <w:r>
        <w:rPr>
          <w:rFonts w:hint="eastAsia" w:ascii="宋体" w:hAnsi="宋体" w:cs="宋体"/>
          <w:color w:val="auto"/>
          <w:lang w:val="en-US" w:eastAsia="zh-CN"/>
        </w:rPr>
        <w:t>14</w:t>
      </w:r>
      <w:r>
        <w:rPr>
          <w:rFonts w:hint="eastAsia" w:ascii="宋体" w:hAnsi="宋体" w:cs="宋体"/>
          <w:color w:val="auto"/>
        </w:rPr>
        <w:t>：</w:t>
      </w:r>
      <w:r>
        <w:rPr>
          <w:rFonts w:hint="eastAsia" w:ascii="宋体" w:hAnsi="宋体" w:cs="宋体"/>
          <w:color w:val="auto"/>
          <w:lang w:val="en-US" w:eastAsia="zh-CN"/>
        </w:rPr>
        <w:t>30</w:t>
      </w:r>
      <w:r>
        <w:rPr>
          <w:rFonts w:hint="eastAsia" w:ascii="宋体" w:hAnsi="宋体" w:cs="宋体"/>
          <w:color w:val="auto"/>
        </w:rPr>
        <w:t>～</w:t>
      </w:r>
      <w:r>
        <w:rPr>
          <w:rFonts w:hint="eastAsia" w:ascii="宋体" w:hAnsi="宋体" w:cs="宋体"/>
          <w:color w:val="auto"/>
          <w:lang w:val="en-US" w:eastAsia="zh-CN"/>
        </w:rPr>
        <w:t>17</w:t>
      </w:r>
      <w:r>
        <w:rPr>
          <w:rFonts w:hint="eastAsia" w:ascii="宋体" w:hAnsi="宋体" w:cs="宋体"/>
          <w:color w:val="auto"/>
        </w:rPr>
        <w:t>：</w:t>
      </w:r>
      <w:r>
        <w:rPr>
          <w:rFonts w:hint="eastAsia" w:ascii="宋体" w:hAnsi="宋体" w:cs="宋体"/>
          <w:color w:val="auto"/>
          <w:lang w:val="en-US" w:eastAsia="zh-CN"/>
        </w:rPr>
        <w:t>30</w:t>
      </w:r>
      <w:r>
        <w:rPr>
          <w:rFonts w:hint="eastAsia" w:ascii="宋体" w:hAnsi="宋体" w:cs="宋体"/>
          <w:color w:val="auto"/>
        </w:rPr>
        <w:t>时(北京时间)，逾期或未购买招标文件的，其投标将被拒绝</w:t>
      </w:r>
      <w:r>
        <w:rPr>
          <w:rFonts w:hint="eastAsia" w:ascii="宋体" w:hAnsi="宋体" w:cs="宋体"/>
          <w:b/>
          <w:bCs/>
          <w:color w:val="auto"/>
        </w:rPr>
        <w:t>[注：报名时需提供报名表（所报项目名称、采购编号、投标供应商全称、联系人、联系电话、传真、邮箱）。]</w:t>
      </w:r>
    </w:p>
    <w:p w14:paraId="78834447">
      <w:pPr>
        <w:pStyle w:val="4"/>
        <w:widowControl/>
        <w:wordWrap/>
        <w:adjustRightInd/>
        <w:spacing w:before="75" w:beforeAutospacing="0" w:after="75" w:afterAutospacing="0" w:line="380" w:lineRule="exact"/>
        <w:ind w:firstLine="480"/>
        <w:textAlignment w:val="auto"/>
        <w:rPr>
          <w:rFonts w:ascii="宋体" w:hAnsi="宋体" w:cs="宋体"/>
          <w:color w:val="auto"/>
        </w:rPr>
      </w:pPr>
      <w:r>
        <w:rPr>
          <w:rFonts w:hint="eastAsia" w:ascii="宋体" w:hAnsi="宋体" w:cs="宋体"/>
          <w:color w:val="auto"/>
          <w:lang w:val="en-US" w:eastAsia="zh-CN"/>
        </w:rPr>
        <w:t>6</w:t>
      </w:r>
      <w:r>
        <w:rPr>
          <w:rFonts w:hint="eastAsia" w:ascii="宋体" w:hAnsi="宋体" w:cs="宋体"/>
          <w:color w:val="auto"/>
        </w:rPr>
        <w:t>、招标文件公告及发售期限：</w:t>
      </w:r>
      <w:r>
        <w:rPr>
          <w:rFonts w:hint="eastAsia" w:ascii="宋体" w:hAnsi="宋体" w:cs="宋体"/>
          <w:color w:val="auto"/>
          <w:u w:val="single"/>
          <w:lang w:val="en-US" w:eastAsia="zh-CN"/>
        </w:rPr>
        <w:t>2026</w:t>
      </w:r>
      <w:r>
        <w:rPr>
          <w:rFonts w:hint="eastAsia" w:ascii="宋体" w:hAnsi="宋体" w:cs="宋体"/>
          <w:color w:val="auto"/>
        </w:rPr>
        <w:t>年</w:t>
      </w:r>
      <w:r>
        <w:rPr>
          <w:rFonts w:hint="eastAsia" w:ascii="宋体" w:hAnsi="宋体" w:cs="宋体"/>
          <w:color w:val="auto"/>
          <w:u w:val="single"/>
          <w:lang w:val="en-US" w:eastAsia="zh-CN"/>
        </w:rPr>
        <w:t>02</w:t>
      </w:r>
      <w:r>
        <w:rPr>
          <w:rFonts w:hint="eastAsia" w:ascii="宋体" w:hAnsi="宋体" w:cs="宋体"/>
          <w:color w:val="auto"/>
        </w:rPr>
        <w:t>月</w:t>
      </w:r>
      <w:r>
        <w:rPr>
          <w:rFonts w:hint="eastAsia" w:ascii="宋体" w:hAnsi="宋体" w:cs="宋体"/>
          <w:color w:val="auto"/>
          <w:u w:val="single"/>
          <w:lang w:val="en-US" w:eastAsia="zh-CN"/>
        </w:rPr>
        <w:t>24</w:t>
      </w:r>
      <w:r>
        <w:rPr>
          <w:rFonts w:hint="eastAsia" w:ascii="宋体" w:hAnsi="宋体" w:cs="宋体"/>
          <w:color w:val="auto"/>
        </w:rPr>
        <w:t>日至</w:t>
      </w:r>
      <w:r>
        <w:rPr>
          <w:rFonts w:hint="eastAsia" w:ascii="宋体" w:hAnsi="宋体" w:cs="宋体"/>
          <w:color w:val="auto"/>
          <w:u w:val="single"/>
          <w:lang w:val="en-US" w:eastAsia="zh-CN"/>
        </w:rPr>
        <w:t>2026</w:t>
      </w:r>
      <w:r>
        <w:rPr>
          <w:rFonts w:hint="eastAsia" w:ascii="宋体" w:hAnsi="宋体" w:cs="宋体"/>
          <w:color w:val="auto"/>
        </w:rPr>
        <w:t>年</w:t>
      </w:r>
      <w:r>
        <w:rPr>
          <w:rFonts w:hint="eastAsia" w:ascii="宋体" w:hAnsi="宋体" w:cs="宋体"/>
          <w:color w:val="auto"/>
          <w:u w:val="single"/>
          <w:lang w:val="en-US" w:eastAsia="zh-CN"/>
        </w:rPr>
        <w:t>03</w:t>
      </w:r>
      <w:r>
        <w:rPr>
          <w:rFonts w:hint="eastAsia" w:ascii="宋体" w:hAnsi="宋体" w:cs="宋体"/>
          <w:color w:val="auto"/>
        </w:rPr>
        <w:t>月</w:t>
      </w:r>
      <w:r>
        <w:rPr>
          <w:rFonts w:hint="eastAsia" w:ascii="宋体" w:hAnsi="宋体" w:cs="宋体"/>
          <w:color w:val="auto"/>
          <w:u w:val="single"/>
          <w:lang w:val="en-US" w:eastAsia="zh-CN"/>
        </w:rPr>
        <w:t>02</w:t>
      </w:r>
      <w:r>
        <w:rPr>
          <w:rFonts w:hint="eastAsia" w:ascii="宋体" w:hAnsi="宋体" w:cs="宋体"/>
          <w:color w:val="auto"/>
        </w:rPr>
        <w:t>日（下）午</w:t>
      </w:r>
      <w:r>
        <w:rPr>
          <w:rFonts w:hint="eastAsia" w:ascii="宋体" w:hAnsi="宋体" w:cs="宋体"/>
          <w:color w:val="auto"/>
          <w:u w:val="single"/>
          <w:lang w:val="en-US" w:eastAsia="zh-CN"/>
        </w:rPr>
        <w:t>17</w:t>
      </w:r>
      <w:r>
        <w:rPr>
          <w:rFonts w:hint="eastAsia" w:ascii="宋体" w:hAnsi="宋体" w:cs="宋体"/>
          <w:color w:val="auto"/>
          <w:u w:val="single"/>
        </w:rPr>
        <w:t>:</w:t>
      </w:r>
      <w:r>
        <w:rPr>
          <w:rFonts w:hint="eastAsia" w:ascii="宋体" w:hAnsi="宋体" w:cs="宋体"/>
          <w:color w:val="auto"/>
          <w:u w:val="single"/>
          <w:lang w:val="en-US" w:eastAsia="zh-CN"/>
        </w:rPr>
        <w:t>3</w:t>
      </w:r>
      <w:r>
        <w:rPr>
          <w:rFonts w:hint="eastAsia" w:ascii="宋体" w:hAnsi="宋体" w:cs="宋体"/>
          <w:color w:val="auto"/>
          <w:u w:val="single"/>
        </w:rPr>
        <w:t>0</w:t>
      </w:r>
      <w:r>
        <w:rPr>
          <w:rFonts w:hint="eastAsia" w:ascii="宋体" w:hAnsi="宋体" w:cs="宋体"/>
          <w:color w:val="auto"/>
        </w:rPr>
        <w:t>时(北京时间)。</w:t>
      </w:r>
    </w:p>
    <w:p w14:paraId="7A8D6675">
      <w:pPr>
        <w:pStyle w:val="4"/>
        <w:widowControl/>
        <w:wordWrap/>
        <w:adjustRightInd/>
        <w:spacing w:before="75" w:beforeAutospacing="0" w:after="75" w:afterAutospacing="0" w:line="380" w:lineRule="exact"/>
        <w:ind w:firstLine="480"/>
        <w:textAlignment w:val="auto"/>
        <w:rPr>
          <w:rFonts w:ascii="宋体" w:hAnsi="宋体" w:cs="宋体"/>
          <w:color w:val="auto"/>
        </w:rPr>
      </w:pPr>
      <w:r>
        <w:rPr>
          <w:rFonts w:hint="eastAsia" w:ascii="宋体" w:hAnsi="宋体" w:cs="宋体"/>
          <w:color w:val="auto"/>
          <w:lang w:val="en-US" w:eastAsia="zh-CN"/>
        </w:rPr>
        <w:t>7</w:t>
      </w:r>
      <w:r>
        <w:rPr>
          <w:rFonts w:hint="eastAsia" w:ascii="宋体" w:hAnsi="宋体" w:cs="宋体"/>
          <w:color w:val="auto"/>
        </w:rPr>
        <w:t>、投标文件递交截止时间：</w:t>
      </w:r>
      <w:r>
        <w:rPr>
          <w:rFonts w:hint="eastAsia" w:ascii="宋体" w:hAnsi="宋体" w:cs="宋体"/>
          <w:color w:val="auto"/>
          <w:u w:val="single"/>
          <w:lang w:val="en-US" w:eastAsia="zh-CN"/>
        </w:rPr>
        <w:t>2026</w:t>
      </w:r>
      <w:r>
        <w:rPr>
          <w:rFonts w:hint="eastAsia" w:ascii="宋体" w:hAnsi="宋体" w:cs="宋体"/>
          <w:color w:val="auto"/>
        </w:rPr>
        <w:t>年</w:t>
      </w:r>
      <w:r>
        <w:rPr>
          <w:rFonts w:hint="eastAsia" w:ascii="宋体" w:hAnsi="宋体" w:cs="宋体"/>
          <w:color w:val="auto"/>
          <w:u w:val="single"/>
          <w:lang w:val="en-US" w:eastAsia="zh-CN"/>
        </w:rPr>
        <w:t>03</w:t>
      </w:r>
      <w:r>
        <w:rPr>
          <w:rFonts w:hint="eastAsia" w:ascii="宋体" w:hAnsi="宋体" w:cs="宋体"/>
          <w:color w:val="auto"/>
        </w:rPr>
        <w:t>月</w:t>
      </w:r>
      <w:r>
        <w:rPr>
          <w:rFonts w:hint="eastAsia" w:ascii="宋体" w:hAnsi="宋体" w:cs="宋体"/>
          <w:color w:val="auto"/>
          <w:u w:val="single"/>
          <w:lang w:val="en-US" w:eastAsia="zh-CN"/>
        </w:rPr>
        <w:t>17</w:t>
      </w:r>
      <w:r>
        <w:rPr>
          <w:rFonts w:hint="eastAsia" w:ascii="宋体" w:hAnsi="宋体" w:cs="宋体"/>
          <w:color w:val="auto"/>
        </w:rPr>
        <w:t>日（</w:t>
      </w:r>
      <w:r>
        <w:rPr>
          <w:rFonts w:hint="eastAsia" w:ascii="宋体" w:hAnsi="宋体" w:cs="宋体"/>
          <w:color w:val="auto"/>
          <w:lang w:val="en-US" w:eastAsia="zh-CN"/>
        </w:rPr>
        <w:t>上</w:t>
      </w:r>
      <w:r>
        <w:rPr>
          <w:rFonts w:hint="eastAsia" w:ascii="宋体" w:hAnsi="宋体" w:cs="宋体"/>
          <w:color w:val="auto"/>
        </w:rPr>
        <w:t>）午</w:t>
      </w:r>
      <w:r>
        <w:rPr>
          <w:rFonts w:hint="eastAsia" w:ascii="宋体" w:hAnsi="宋体" w:cs="宋体"/>
          <w:color w:val="auto"/>
          <w:u w:val="single"/>
          <w:lang w:val="en-US" w:eastAsia="zh-CN"/>
        </w:rPr>
        <w:t>09:30</w:t>
      </w:r>
      <w:r>
        <w:rPr>
          <w:rFonts w:hint="eastAsia" w:ascii="宋体" w:hAnsi="宋体" w:cs="宋体"/>
          <w:color w:val="auto"/>
        </w:rPr>
        <w:t>时(北京时间)，实质性不符合《招标文件》的规定或逾期收到的投标文件恕不接受。</w:t>
      </w:r>
    </w:p>
    <w:p w14:paraId="1DB74686">
      <w:pPr>
        <w:pStyle w:val="4"/>
        <w:widowControl/>
        <w:wordWrap/>
        <w:adjustRightInd/>
        <w:spacing w:before="75" w:beforeAutospacing="0" w:after="75" w:afterAutospacing="0" w:line="380" w:lineRule="exact"/>
        <w:ind w:firstLine="480"/>
        <w:textAlignment w:val="auto"/>
        <w:rPr>
          <w:rFonts w:ascii="宋体" w:hAnsi="宋体" w:cs="宋体"/>
          <w:color w:val="auto"/>
        </w:rPr>
      </w:pPr>
      <w:r>
        <w:rPr>
          <w:rFonts w:hint="eastAsia" w:ascii="宋体" w:hAnsi="宋体" w:cs="宋体"/>
          <w:color w:val="auto"/>
          <w:lang w:val="en-US" w:eastAsia="zh-CN"/>
        </w:rPr>
        <w:t>8</w:t>
      </w:r>
      <w:r>
        <w:rPr>
          <w:rFonts w:hint="eastAsia" w:ascii="宋体" w:hAnsi="宋体" w:cs="宋体"/>
          <w:color w:val="auto"/>
        </w:rPr>
        <w:t>、开标时间：</w:t>
      </w:r>
      <w:r>
        <w:rPr>
          <w:rFonts w:hint="eastAsia" w:ascii="宋体" w:hAnsi="宋体" w:cs="宋体"/>
          <w:color w:val="auto"/>
          <w:u w:val="single"/>
          <w:lang w:val="en-US" w:eastAsia="zh-CN"/>
        </w:rPr>
        <w:t>2026</w:t>
      </w:r>
      <w:r>
        <w:rPr>
          <w:rFonts w:hint="eastAsia" w:ascii="宋体" w:hAnsi="宋体" w:cs="宋体"/>
          <w:color w:val="auto"/>
        </w:rPr>
        <w:t>年</w:t>
      </w:r>
      <w:r>
        <w:rPr>
          <w:rFonts w:hint="eastAsia" w:ascii="宋体" w:hAnsi="宋体" w:cs="宋体"/>
          <w:color w:val="auto"/>
          <w:u w:val="single"/>
          <w:lang w:val="en-US" w:eastAsia="zh-CN"/>
        </w:rPr>
        <w:t>03</w:t>
      </w:r>
      <w:r>
        <w:rPr>
          <w:rFonts w:hint="eastAsia" w:ascii="宋体" w:hAnsi="宋体" w:cs="宋体"/>
          <w:color w:val="auto"/>
        </w:rPr>
        <w:t>月</w:t>
      </w:r>
      <w:r>
        <w:rPr>
          <w:rFonts w:hint="eastAsia" w:ascii="宋体" w:hAnsi="宋体" w:cs="宋体"/>
          <w:color w:val="auto"/>
          <w:u w:val="single"/>
          <w:lang w:val="en-US" w:eastAsia="zh-CN"/>
        </w:rPr>
        <w:t>17</w:t>
      </w:r>
      <w:r>
        <w:rPr>
          <w:rFonts w:hint="eastAsia" w:ascii="宋体" w:hAnsi="宋体" w:cs="宋体"/>
          <w:color w:val="auto"/>
        </w:rPr>
        <w:t>日（</w:t>
      </w:r>
      <w:r>
        <w:rPr>
          <w:rFonts w:hint="eastAsia" w:ascii="宋体" w:hAnsi="宋体" w:cs="宋体"/>
          <w:color w:val="auto"/>
          <w:lang w:val="en-US" w:eastAsia="zh-CN"/>
        </w:rPr>
        <w:t>上</w:t>
      </w:r>
      <w:r>
        <w:rPr>
          <w:rFonts w:hint="eastAsia" w:ascii="宋体" w:hAnsi="宋体" w:cs="宋体"/>
          <w:color w:val="auto"/>
        </w:rPr>
        <w:t>）午</w:t>
      </w:r>
      <w:r>
        <w:rPr>
          <w:rFonts w:hint="eastAsia" w:ascii="宋体" w:hAnsi="宋体" w:cs="宋体"/>
          <w:color w:val="auto"/>
          <w:u w:val="single"/>
          <w:lang w:val="en-US" w:eastAsia="zh-CN"/>
        </w:rPr>
        <w:t>09:30</w:t>
      </w:r>
      <w:r>
        <w:rPr>
          <w:rFonts w:hint="eastAsia" w:ascii="宋体" w:hAnsi="宋体" w:cs="宋体"/>
          <w:color w:val="auto"/>
        </w:rPr>
        <w:t>时(北京时间)。</w:t>
      </w:r>
    </w:p>
    <w:p w14:paraId="5A7CB59A">
      <w:pPr>
        <w:pStyle w:val="4"/>
        <w:widowControl/>
        <w:wordWrap/>
        <w:adjustRightInd/>
        <w:spacing w:before="75" w:beforeAutospacing="0" w:after="75" w:afterAutospacing="0" w:line="380" w:lineRule="exact"/>
        <w:ind w:firstLine="480"/>
        <w:textAlignment w:val="auto"/>
        <w:rPr>
          <w:rFonts w:ascii="宋体" w:hAnsi="宋体" w:cs="宋体"/>
          <w:color w:val="auto"/>
          <w:highlight w:val="none"/>
          <w:u w:val="single"/>
        </w:rPr>
      </w:pPr>
      <w:r>
        <w:rPr>
          <w:rFonts w:hint="eastAsia" w:ascii="宋体" w:hAnsi="宋体" w:cs="宋体"/>
          <w:color w:val="auto"/>
          <w:highlight w:val="none"/>
          <w:lang w:val="en-US" w:eastAsia="zh-CN"/>
        </w:rPr>
        <w:t>9</w:t>
      </w:r>
      <w:r>
        <w:rPr>
          <w:rFonts w:hint="eastAsia" w:ascii="宋体" w:hAnsi="宋体" w:cs="宋体"/>
          <w:color w:val="auto"/>
          <w:highlight w:val="none"/>
        </w:rPr>
        <w:t>、投标文件递交地点及开标地点</w:t>
      </w:r>
      <w:r>
        <w:rPr>
          <w:rFonts w:hint="eastAsia" w:ascii="宋体" w:hAnsi="宋体" w:cs="宋体"/>
          <w:color w:val="auto"/>
          <w:highlight w:val="none"/>
          <w:lang w:eastAsia="zh-CN"/>
        </w:rPr>
        <w:t>：</w:t>
      </w:r>
      <w:r>
        <w:rPr>
          <w:rFonts w:hint="eastAsia" w:ascii="宋体" w:hAnsi="宋体" w:cs="宋体"/>
          <w:color w:val="auto"/>
          <w:highlight w:val="none"/>
          <w:u w:val="single"/>
          <w:lang w:eastAsia="zh-CN"/>
        </w:rPr>
        <w:t>南安市美林街道中骏雍景湾6号楼3201室</w:t>
      </w:r>
      <w:r>
        <w:rPr>
          <w:rFonts w:hint="eastAsia" w:ascii="宋体" w:hAnsi="宋体"/>
          <w:color w:val="auto"/>
          <w:highlight w:val="none"/>
          <w:u w:val="single"/>
        </w:rPr>
        <w:t>。</w:t>
      </w:r>
    </w:p>
    <w:p w14:paraId="419F661E">
      <w:pPr>
        <w:pStyle w:val="4"/>
        <w:widowControl/>
        <w:wordWrap/>
        <w:adjustRightInd/>
        <w:spacing w:before="75" w:beforeAutospacing="0" w:after="75" w:afterAutospacing="0" w:line="380" w:lineRule="exact"/>
        <w:ind w:firstLine="480"/>
        <w:textAlignment w:val="auto"/>
        <w:rPr>
          <w:rFonts w:ascii="宋体" w:hAnsi="宋体" w:cs="宋体"/>
          <w:color w:val="auto"/>
        </w:rPr>
      </w:pPr>
      <w:r>
        <w:rPr>
          <w:rFonts w:hint="eastAsia" w:ascii="宋体" w:hAnsi="宋体" w:cs="宋体"/>
          <w:color w:val="auto"/>
          <w:lang w:val="en-US" w:eastAsia="zh-CN"/>
        </w:rPr>
        <w:t>10</w:t>
      </w:r>
      <w:r>
        <w:rPr>
          <w:rFonts w:hint="eastAsia" w:ascii="宋体" w:hAnsi="宋体" w:cs="宋体"/>
          <w:color w:val="auto"/>
        </w:rPr>
        <w:t>、根据《中华人民共和国政府采购法》第五十二条规定，供应商认为招标文件、采购过程和中标结果使自己的权益受到损害的，可根据中华人民共和国国务院令第658号令《中华人民共和国政府采购法实施条例》第五十三条提出质疑：对招标文件质疑的，可以在收到招标文件之日或者招标文件公告期限届满之日提出；对采购过程质疑的，可以在各采购程序环节结束之日提出；对中标结果质疑的，可以在中标结果公告期限届满之日提出；均以书面形式向采购人提出质疑澄清，口头质疑不予接受。</w:t>
      </w:r>
    </w:p>
    <w:p w14:paraId="25304617">
      <w:pPr>
        <w:pStyle w:val="4"/>
        <w:widowControl/>
        <w:wordWrap/>
        <w:adjustRightInd/>
        <w:spacing w:before="75" w:beforeAutospacing="0" w:after="75" w:afterAutospacing="0" w:line="380" w:lineRule="exact"/>
        <w:ind w:firstLine="480"/>
        <w:textAlignment w:val="auto"/>
        <w:rPr>
          <w:rFonts w:ascii="宋体" w:hAnsi="宋体" w:cs="宋体"/>
          <w:color w:val="auto"/>
        </w:rPr>
      </w:pPr>
      <w:r>
        <w:rPr>
          <w:rFonts w:hint="eastAsia" w:ascii="宋体" w:hAnsi="宋体" w:cs="宋体"/>
          <w:color w:val="auto"/>
        </w:rPr>
        <w:t>注：(1)质疑供货商将该函（原件）和相关证据盖公章在规定的时间内送达招标代理机构及采购单位。</w:t>
      </w:r>
    </w:p>
    <w:p w14:paraId="4198110B">
      <w:pPr>
        <w:pStyle w:val="4"/>
        <w:widowControl/>
        <w:wordWrap/>
        <w:adjustRightInd/>
        <w:spacing w:before="75" w:beforeAutospacing="0" w:after="75" w:afterAutospacing="0" w:line="380" w:lineRule="exact"/>
        <w:ind w:firstLine="480"/>
        <w:textAlignment w:val="auto"/>
        <w:rPr>
          <w:rFonts w:ascii="宋体" w:hAnsi="宋体" w:cs="宋体"/>
          <w:color w:val="auto"/>
        </w:rPr>
      </w:pPr>
      <w:r>
        <w:rPr>
          <w:rFonts w:hint="eastAsia" w:ascii="宋体" w:hAnsi="宋体" w:cs="宋体"/>
          <w:color w:val="auto"/>
        </w:rPr>
        <w:t>（2）送达时需提供营业执照副本复印件并加盖公章，否则不予受理。</w:t>
      </w:r>
    </w:p>
    <w:p w14:paraId="1B74CD22">
      <w:pPr>
        <w:pStyle w:val="4"/>
        <w:widowControl/>
        <w:wordWrap/>
        <w:adjustRightInd/>
        <w:spacing w:before="75" w:beforeAutospacing="0" w:after="75" w:afterAutospacing="0" w:line="380" w:lineRule="exact"/>
        <w:ind w:firstLine="480"/>
        <w:textAlignment w:val="auto"/>
        <w:rPr>
          <w:rFonts w:ascii="宋体" w:hAnsi="宋体" w:cs="宋体"/>
          <w:color w:val="auto"/>
        </w:rPr>
      </w:pPr>
      <w:r>
        <w:rPr>
          <w:rFonts w:hint="eastAsia" w:ascii="宋体" w:hAnsi="宋体" w:cs="宋体"/>
          <w:color w:val="auto"/>
        </w:rPr>
        <w:t>（3）非法定代表人送达时，授权代表须提供法定代表人授权书和法定代表人及授权代表的身份证复印件及为授权代表缴交的近3个月社保缴费证明材料,并加盖公章，否则不予受理。</w:t>
      </w:r>
    </w:p>
    <w:p w14:paraId="3122FB31">
      <w:pPr>
        <w:pStyle w:val="4"/>
        <w:widowControl/>
        <w:wordWrap/>
        <w:adjustRightInd/>
        <w:spacing w:before="75" w:beforeAutospacing="0" w:after="75" w:afterAutospacing="0" w:line="380" w:lineRule="exact"/>
        <w:ind w:firstLine="480"/>
        <w:jc w:val="both"/>
        <w:textAlignment w:val="auto"/>
        <w:rPr>
          <w:rFonts w:ascii="宋体" w:hAnsi="宋体" w:cs="宋体"/>
          <w:color w:val="auto"/>
        </w:rPr>
      </w:pPr>
      <w:r>
        <w:rPr>
          <w:rFonts w:hint="eastAsia" w:ascii="宋体" w:hAnsi="宋体" w:cs="宋体"/>
          <w:color w:val="auto"/>
        </w:rPr>
        <w:t>质疑函的格式应当参照财政部官方网站提供的质疑函范本，针对同一采购程序环节的质疑应当在法定质疑期内一次性提出，否则将不予受理。</w:t>
      </w:r>
    </w:p>
    <w:p w14:paraId="7F53ED0A">
      <w:pPr>
        <w:pStyle w:val="4"/>
        <w:widowControl/>
        <w:wordWrap/>
        <w:adjustRightInd/>
        <w:spacing w:before="75" w:beforeAutospacing="0" w:after="75" w:afterAutospacing="0" w:line="380" w:lineRule="exact"/>
        <w:ind w:firstLine="480"/>
        <w:textAlignment w:val="auto"/>
        <w:rPr>
          <w:rFonts w:ascii="宋体" w:hAnsi="宋体" w:cs="宋体"/>
          <w:color w:val="auto"/>
          <w:highlight w:val="none"/>
        </w:rPr>
      </w:pPr>
      <w:r>
        <w:rPr>
          <w:rFonts w:hint="eastAsia" w:ascii="宋体" w:hAnsi="宋体" w:cs="宋体"/>
          <w:color w:val="auto"/>
          <w:lang w:val="en-US" w:eastAsia="zh-CN"/>
        </w:rPr>
        <w:t>11</w:t>
      </w:r>
      <w:r>
        <w:rPr>
          <w:rFonts w:hint="eastAsia" w:ascii="宋体" w:hAnsi="宋体" w:cs="宋体"/>
          <w:color w:val="auto"/>
        </w:rPr>
        <w:t>、有关本项目招标的相关信息（包括招标文件若有修改）均发布于</w:t>
      </w:r>
      <w:r>
        <w:rPr>
          <w:rFonts w:hint="eastAsia" w:ascii="宋体" w:hAnsi="宋体" w:cs="宋体"/>
          <w:b/>
          <w:bCs/>
          <w:color w:val="auto"/>
        </w:rPr>
        <w:t>南安市紧密型医共体招采供平台（http://nazb.51zhaobiao.cn/f）、南安市医院（https://www.fjsnasyy.cn/）</w:t>
      </w:r>
      <w:r>
        <w:rPr>
          <w:rFonts w:hint="eastAsia" w:ascii="宋体" w:hAnsi="宋体" w:cs="宋体"/>
          <w:color w:val="auto"/>
        </w:rPr>
        <w:t>不作另行通知，请潜在投标供应商随时关注相关网站，以免错漏重要信息。</w:t>
      </w:r>
    </w:p>
    <w:p w14:paraId="40E24382">
      <w:pPr>
        <w:pStyle w:val="4"/>
        <w:widowControl/>
        <w:wordWrap/>
        <w:adjustRightInd/>
        <w:spacing w:before="75" w:beforeAutospacing="0" w:after="75" w:afterAutospacing="0" w:line="380" w:lineRule="exact"/>
        <w:ind w:firstLine="480"/>
        <w:textAlignment w:val="auto"/>
        <w:rPr>
          <w:rFonts w:hint="eastAsia" w:ascii="宋体" w:hAnsi="宋体" w:eastAsia="宋体" w:cs="宋体"/>
          <w:color w:val="auto"/>
          <w:highlight w:val="none"/>
          <w:shd w:val="clear" w:color="auto" w:fill="auto"/>
          <w:lang w:eastAsia="zh-CN"/>
        </w:rPr>
      </w:pPr>
      <w:r>
        <w:rPr>
          <w:rFonts w:hint="eastAsia" w:ascii="宋体" w:hAnsi="宋体"/>
          <w:color w:val="auto"/>
          <w:highlight w:val="none"/>
          <w:shd w:val="clear" w:color="auto" w:fill="auto"/>
          <w:lang w:val="en-US" w:eastAsia="zh-CN"/>
        </w:rPr>
        <w:t>12</w:t>
      </w:r>
      <w:r>
        <w:rPr>
          <w:rFonts w:hint="eastAsia" w:ascii="宋体" w:hAnsi="宋体"/>
          <w:color w:val="auto"/>
          <w:highlight w:val="none"/>
          <w:shd w:val="clear" w:color="auto" w:fill="auto"/>
        </w:rPr>
        <w:t>、采购单位：</w:t>
      </w:r>
      <w:r>
        <w:rPr>
          <w:rFonts w:hint="eastAsia" w:ascii="宋体" w:hAnsi="宋体"/>
          <w:color w:val="auto"/>
          <w:highlight w:val="none"/>
          <w:shd w:val="clear" w:color="auto" w:fill="auto"/>
          <w:lang w:eastAsia="zh-CN"/>
        </w:rPr>
        <w:t>南安市医院</w:t>
      </w:r>
    </w:p>
    <w:p w14:paraId="0CCE471F">
      <w:pPr>
        <w:wordWrap/>
        <w:adjustRightInd/>
        <w:snapToGrid w:val="0"/>
        <w:spacing w:line="380" w:lineRule="exact"/>
        <w:ind w:firstLine="960" w:firstLineChars="400"/>
        <w:textAlignment w:val="auto"/>
        <w:rPr>
          <w:rFonts w:hint="eastAsia" w:ascii="宋体" w:hAnsi="宋体" w:eastAsia="宋体"/>
          <w:color w:val="auto"/>
          <w:sz w:val="24"/>
          <w:highlight w:val="none"/>
          <w:shd w:val="clear" w:color="auto" w:fill="auto"/>
          <w:lang w:eastAsia="zh-CN"/>
        </w:rPr>
      </w:pPr>
      <w:r>
        <w:rPr>
          <w:rFonts w:hint="eastAsia" w:ascii="宋体" w:hAnsi="宋体"/>
          <w:color w:val="auto"/>
          <w:sz w:val="24"/>
          <w:highlight w:val="none"/>
          <w:shd w:val="clear" w:color="auto" w:fill="auto"/>
        </w:rPr>
        <w:t>采购单位地址：南安市柳城街道江北大道2330号南安市医院</w:t>
      </w:r>
    </w:p>
    <w:p w14:paraId="2AB9A1A3">
      <w:pPr>
        <w:wordWrap/>
        <w:adjustRightInd/>
        <w:snapToGrid w:val="0"/>
        <w:spacing w:line="380" w:lineRule="exact"/>
        <w:ind w:firstLine="960" w:firstLineChars="400"/>
        <w:textAlignment w:val="auto"/>
        <w:rPr>
          <w:rFonts w:hint="default" w:ascii="宋体" w:hAnsi="宋体" w:eastAsia="宋体"/>
          <w:color w:val="auto"/>
          <w:sz w:val="24"/>
          <w:highlight w:val="none"/>
          <w:shd w:val="clear" w:color="auto" w:fill="auto"/>
          <w:lang w:val="en-US" w:eastAsia="zh-CN"/>
        </w:rPr>
      </w:pPr>
      <w:r>
        <w:rPr>
          <w:rFonts w:hint="eastAsia" w:ascii="宋体" w:hAnsi="宋体"/>
          <w:color w:val="auto"/>
          <w:sz w:val="24"/>
          <w:highlight w:val="none"/>
          <w:shd w:val="clear" w:color="auto" w:fill="auto"/>
        </w:rPr>
        <w:t>联 系 人：</w:t>
      </w:r>
      <w:r>
        <w:rPr>
          <w:rFonts w:hint="eastAsia" w:ascii="宋体" w:hAnsi="宋体"/>
          <w:color w:val="auto"/>
          <w:sz w:val="24"/>
          <w:highlight w:val="none"/>
          <w:shd w:val="clear" w:color="auto" w:fill="auto"/>
          <w:lang w:val="en-US" w:eastAsia="zh-CN"/>
        </w:rPr>
        <w:t>黄女士，</w:t>
      </w:r>
      <w:r>
        <w:rPr>
          <w:rFonts w:hint="eastAsia" w:ascii="宋体" w:hAnsi="宋体"/>
          <w:color w:val="auto"/>
          <w:sz w:val="24"/>
          <w:highlight w:val="none"/>
          <w:shd w:val="clear" w:color="auto" w:fill="auto"/>
        </w:rPr>
        <w:t>联系电话：0595</w:t>
      </w:r>
      <w:r>
        <w:rPr>
          <w:rFonts w:hint="eastAsia" w:ascii="宋体" w:hAnsi="宋体"/>
          <w:color w:val="auto"/>
          <w:sz w:val="24"/>
          <w:highlight w:val="none"/>
          <w:shd w:val="clear" w:color="auto" w:fill="auto"/>
          <w:lang w:val="en-US" w:eastAsia="zh-CN"/>
        </w:rPr>
        <w:t>-</w:t>
      </w:r>
      <w:r>
        <w:rPr>
          <w:rFonts w:hint="eastAsia" w:ascii="宋体" w:hAnsi="宋体"/>
          <w:color w:val="auto"/>
          <w:sz w:val="24"/>
          <w:highlight w:val="none"/>
          <w:shd w:val="clear" w:color="auto" w:fill="auto"/>
        </w:rPr>
        <w:t>86394107</w:t>
      </w:r>
      <w:r>
        <w:rPr>
          <w:rFonts w:hint="eastAsia" w:ascii="宋体" w:hAnsi="宋体"/>
          <w:color w:val="auto"/>
          <w:sz w:val="24"/>
          <w:highlight w:val="none"/>
          <w:shd w:val="clear" w:color="auto" w:fill="auto"/>
          <w:lang w:val="en-US" w:eastAsia="zh-CN"/>
        </w:rPr>
        <w:t xml:space="preserve">      </w:t>
      </w:r>
    </w:p>
    <w:p w14:paraId="1C2B3034">
      <w:pPr>
        <w:wordWrap/>
        <w:adjustRightInd/>
        <w:snapToGrid w:val="0"/>
        <w:spacing w:line="380" w:lineRule="exact"/>
        <w:ind w:firstLine="480" w:firstLineChars="200"/>
        <w:textAlignment w:val="auto"/>
        <w:rPr>
          <w:rFonts w:hint="eastAsia" w:ascii="宋体" w:hAnsi="宋体" w:eastAsia="宋体"/>
          <w:color w:val="auto"/>
          <w:sz w:val="24"/>
          <w:highlight w:val="none"/>
          <w:lang w:eastAsia="zh-CN"/>
        </w:rPr>
      </w:pPr>
      <w:r>
        <w:rPr>
          <w:rFonts w:hint="eastAsia" w:ascii="宋体" w:hAnsi="宋体"/>
          <w:color w:val="auto"/>
          <w:sz w:val="24"/>
          <w:highlight w:val="none"/>
          <w:lang w:val="en-US" w:eastAsia="zh-CN"/>
        </w:rPr>
        <w:t>13</w:t>
      </w:r>
      <w:r>
        <w:rPr>
          <w:rFonts w:hint="eastAsia" w:ascii="宋体" w:hAnsi="宋体"/>
          <w:color w:val="auto"/>
          <w:sz w:val="24"/>
          <w:highlight w:val="none"/>
        </w:rPr>
        <w:t>、采购代理机构名称</w:t>
      </w:r>
      <w:r>
        <w:rPr>
          <w:rFonts w:hint="eastAsia" w:ascii="宋体" w:hAnsi="宋体"/>
          <w:vanish/>
          <w:color w:val="auto"/>
          <w:sz w:val="24"/>
          <w:highlight w:val="none"/>
        </w:rPr>
        <w:t>们6392507</w:t>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t>10101   采购代</w:t>
      </w:r>
      <w:r>
        <w:rPr>
          <w:rFonts w:hint="eastAsia" w:ascii="宋体" w:hAnsi="宋体"/>
          <w:color w:val="auto"/>
          <w:sz w:val="24"/>
          <w:highlight w:val="none"/>
        </w:rPr>
        <w:t>：</w:t>
      </w:r>
      <w:r>
        <w:rPr>
          <w:rFonts w:hint="eastAsia" w:ascii="宋体" w:hAnsi="宋体"/>
          <w:color w:val="auto"/>
          <w:sz w:val="24"/>
          <w:highlight w:val="none"/>
          <w:lang w:eastAsia="zh-CN"/>
        </w:rPr>
        <w:t>泉州思诺招标有限公司</w:t>
      </w:r>
    </w:p>
    <w:p w14:paraId="2D02AE9C">
      <w:pPr>
        <w:wordWrap/>
        <w:adjustRightInd/>
        <w:snapToGrid w:val="0"/>
        <w:spacing w:line="380" w:lineRule="exact"/>
        <w:ind w:firstLine="960" w:firstLineChars="400"/>
        <w:textAlignment w:val="auto"/>
        <w:rPr>
          <w:rFonts w:ascii="宋体" w:hAnsi="宋体"/>
          <w:color w:val="auto"/>
          <w:sz w:val="24"/>
        </w:rPr>
      </w:pPr>
      <w:r>
        <w:rPr>
          <w:rFonts w:hint="eastAsia" w:ascii="宋体" w:hAnsi="宋体"/>
          <w:color w:val="auto"/>
          <w:sz w:val="24"/>
          <w:highlight w:val="none"/>
        </w:rPr>
        <w:t>采购代理机构地址</w:t>
      </w:r>
      <w:r>
        <w:rPr>
          <w:rFonts w:hint="eastAsia" w:ascii="宋体" w:hAnsi="宋体"/>
          <w:vanish/>
          <w:color w:val="auto"/>
          <w:sz w:val="24"/>
          <w:highlight w:val="none"/>
        </w:rPr>
        <w:t>们6392507</w:t>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pgNum/>
      </w:r>
      <w:r>
        <w:rPr>
          <w:rFonts w:hint="eastAsia" w:ascii="宋体" w:hAnsi="宋体"/>
          <w:vanish/>
          <w:color w:val="auto"/>
          <w:sz w:val="24"/>
          <w:highlight w:val="none"/>
        </w:rPr>
        <w:t>10101   采购代</w:t>
      </w:r>
      <w:r>
        <w:rPr>
          <w:rFonts w:hint="eastAsia" w:ascii="宋体" w:hAnsi="宋体"/>
          <w:color w:val="auto"/>
          <w:sz w:val="24"/>
          <w:highlight w:val="none"/>
        </w:rPr>
        <w:t>：</w:t>
      </w:r>
      <w:r>
        <w:rPr>
          <w:rFonts w:hint="eastAsia" w:ascii="宋体" w:hAnsi="宋体"/>
          <w:color w:val="auto"/>
          <w:sz w:val="24"/>
          <w:highlight w:val="none"/>
          <w:lang w:eastAsia="zh-CN"/>
        </w:rPr>
        <w:t>福建省南安市水头镇新街88-1号</w:t>
      </w:r>
    </w:p>
    <w:p w14:paraId="3C91C421">
      <w:pPr>
        <w:wordWrap/>
        <w:adjustRightInd/>
        <w:snapToGrid w:val="0"/>
        <w:spacing w:line="380" w:lineRule="exact"/>
        <w:ind w:firstLine="960" w:firstLineChars="400"/>
        <w:textAlignment w:val="auto"/>
        <w:rPr>
          <w:rFonts w:hint="eastAsia" w:ascii="宋体" w:hAnsi="宋体" w:eastAsia="宋体"/>
          <w:color w:val="auto"/>
          <w:sz w:val="24"/>
          <w:lang w:eastAsia="zh-CN"/>
        </w:rPr>
      </w:pPr>
      <w:r>
        <w:rPr>
          <w:rFonts w:hint="eastAsia" w:ascii="宋体" w:hAnsi="宋体"/>
          <w:color w:val="auto"/>
          <w:sz w:val="24"/>
        </w:rPr>
        <w:t>联 系 人：</w:t>
      </w:r>
      <w:r>
        <w:rPr>
          <w:rFonts w:hint="eastAsia" w:ascii="宋体" w:hAnsi="宋体"/>
          <w:color w:val="auto"/>
          <w:sz w:val="24"/>
          <w:lang w:eastAsia="zh-CN"/>
        </w:rPr>
        <w:t>吕先生</w:t>
      </w:r>
      <w:r>
        <w:rPr>
          <w:rFonts w:hint="eastAsia" w:ascii="宋体" w:hAnsi="宋体"/>
          <w:color w:val="auto"/>
          <w:sz w:val="24"/>
        </w:rPr>
        <w:t>，联系电话：</w:t>
      </w:r>
      <w:r>
        <w:rPr>
          <w:rFonts w:hint="eastAsia" w:ascii="宋体" w:hAnsi="宋体"/>
          <w:color w:val="auto"/>
          <w:sz w:val="24"/>
          <w:lang w:eastAsia="zh-CN"/>
        </w:rPr>
        <w:t>0595-88025005</w:t>
      </w:r>
    </w:p>
    <w:p w14:paraId="7EE78BC0">
      <w:pPr>
        <w:wordWrap/>
        <w:adjustRightInd/>
        <w:snapToGrid w:val="0"/>
        <w:spacing w:line="380" w:lineRule="exact"/>
        <w:ind w:firstLine="960" w:firstLineChars="400"/>
        <w:textAlignment w:val="auto"/>
        <w:rPr>
          <w:rFonts w:hint="eastAsia" w:ascii="宋体" w:hAnsi="宋体" w:eastAsia="宋体"/>
          <w:color w:val="auto"/>
          <w:sz w:val="24"/>
          <w:lang w:eastAsia="zh-CN"/>
        </w:rPr>
      </w:pPr>
      <w:r>
        <w:rPr>
          <w:rFonts w:hint="eastAsia" w:ascii="宋体" w:hAnsi="宋体"/>
          <w:color w:val="auto"/>
          <w:sz w:val="24"/>
        </w:rPr>
        <w:t>电子邮箱：</w:t>
      </w:r>
      <w:r>
        <w:rPr>
          <w:rFonts w:hint="eastAsia" w:ascii="宋体" w:hAnsi="宋体"/>
          <w:color w:val="auto"/>
          <w:sz w:val="24"/>
          <w:u w:val="single"/>
          <w:lang w:eastAsia="zh-CN"/>
        </w:rPr>
        <w:t>1776384049@qq.com</w:t>
      </w:r>
    </w:p>
    <w:p w14:paraId="70899264">
      <w:pPr>
        <w:wordWrap/>
        <w:adjustRightInd/>
        <w:snapToGrid w:val="0"/>
        <w:spacing w:line="380" w:lineRule="exact"/>
        <w:ind w:firstLine="480" w:firstLineChars="200"/>
        <w:textAlignment w:val="auto"/>
        <w:rPr>
          <w:rFonts w:hint="eastAsia" w:ascii="宋体" w:hAnsi="宋体" w:cs="宋体"/>
          <w:color w:val="auto"/>
          <w:sz w:val="24"/>
        </w:rPr>
      </w:pPr>
      <w:r>
        <w:rPr>
          <w:rFonts w:hint="eastAsia" w:ascii="宋体" w:hAnsi="宋体"/>
          <w:color w:val="auto"/>
          <w:sz w:val="24"/>
          <w:lang w:val="en-US" w:eastAsia="zh-CN"/>
        </w:rPr>
        <w:t>14</w:t>
      </w:r>
      <w:r>
        <w:rPr>
          <w:rFonts w:hint="eastAsia" w:ascii="宋体" w:hAnsi="宋体"/>
          <w:color w:val="auto"/>
          <w:sz w:val="24"/>
        </w:rPr>
        <w:t>、本次采购解释权及招标过程的答疑、质疑等归属</w:t>
      </w:r>
      <w:r>
        <w:rPr>
          <w:rFonts w:hint="eastAsia" w:ascii="宋体" w:hAnsi="宋体"/>
          <w:color w:val="auto"/>
          <w:sz w:val="24"/>
          <w:u w:val="single"/>
          <w:lang w:eastAsia="zh-CN"/>
        </w:rPr>
        <w:t>泉州思诺招标有限公司</w:t>
      </w:r>
      <w:r>
        <w:rPr>
          <w:rFonts w:hint="eastAsia" w:ascii="宋体" w:hAnsi="宋体"/>
          <w:color w:val="auto"/>
          <w:sz w:val="24"/>
        </w:rPr>
        <w:t>。</w:t>
      </w:r>
    </w:p>
    <w:p w14:paraId="6B83A9FE">
      <w:pPr>
        <w:pStyle w:val="4"/>
        <w:widowControl/>
        <w:spacing w:before="75" w:beforeAutospacing="0" w:after="75" w:afterAutospacing="0"/>
        <w:rPr>
          <w:color w:val="auto"/>
        </w:rPr>
      </w:pPr>
      <w:r>
        <w:rPr>
          <w:rFonts w:hint="eastAsia" w:ascii="宋体" w:hAnsi="宋体" w:cs="宋体"/>
          <w:color w:val="auto"/>
        </w:rPr>
        <w:t>附：采购标的一览表</w:t>
      </w:r>
    </w:p>
    <w:p w14:paraId="4AB8FB9C">
      <w:pPr>
        <w:pStyle w:val="4"/>
        <w:widowControl/>
        <w:spacing w:beforeAutospacing="0" w:after="150" w:afterAutospacing="0"/>
        <w:jc w:val="right"/>
        <w:rPr>
          <w:rFonts w:ascii="宋体" w:hAnsi="宋体" w:cs="宋体"/>
          <w:color w:val="auto"/>
        </w:rPr>
      </w:pPr>
      <w:r>
        <w:rPr>
          <w:rFonts w:hint="eastAsia" w:ascii="宋体" w:hAnsi="宋体" w:cs="宋体"/>
          <w:color w:val="auto"/>
        </w:rPr>
        <w:t>金额单位：人民币元</w:t>
      </w:r>
    </w:p>
    <w:tbl>
      <w:tblPr>
        <w:tblStyle w:val="5"/>
        <w:tblW w:w="8945" w:type="dxa"/>
        <w:jc w:val="center"/>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Layout w:type="fixed"/>
        <w:tblCellMar>
          <w:top w:w="0" w:type="dxa"/>
          <w:left w:w="0" w:type="dxa"/>
          <w:bottom w:w="0" w:type="dxa"/>
          <w:right w:w="0" w:type="dxa"/>
        </w:tblCellMar>
      </w:tblPr>
      <w:tblGrid>
        <w:gridCol w:w="1019"/>
        <w:gridCol w:w="2300"/>
        <w:gridCol w:w="738"/>
        <w:gridCol w:w="1309"/>
        <w:gridCol w:w="945"/>
        <w:gridCol w:w="1155"/>
        <w:gridCol w:w="1479"/>
      </w:tblGrid>
      <w:tr w14:paraId="2797B36D">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0" w:type="dxa"/>
            <w:left w:w="0" w:type="dxa"/>
            <w:bottom w:w="0" w:type="dxa"/>
            <w:right w:w="0" w:type="dxa"/>
          </w:tblCellMar>
        </w:tblPrEx>
        <w:trPr>
          <w:trHeight w:val="834" w:hRule="atLeast"/>
          <w:tblHeader/>
          <w:jc w:val="center"/>
        </w:trPr>
        <w:tc>
          <w:tcPr>
            <w:tcW w:w="1019" w:type="dxa"/>
            <w:tcBorders>
              <w:top w:val="single" w:color="666666" w:sz="6" w:space="0"/>
              <w:left w:val="single" w:color="666666" w:sz="6" w:space="0"/>
              <w:bottom w:val="single" w:color="666666" w:sz="6" w:space="0"/>
              <w:right w:val="single" w:color="666666" w:sz="6" w:space="0"/>
            </w:tcBorders>
            <w:shd w:val="clear" w:color="auto" w:fill="FFFFFF"/>
            <w:vAlign w:val="center"/>
          </w:tcPr>
          <w:p w14:paraId="14E6B418">
            <w:pPr>
              <w:widowControl/>
              <w:jc w:val="center"/>
              <w:rPr>
                <w:rFonts w:ascii="宋体" w:hAnsi="宋体" w:cs="宋体"/>
                <w:b w:val="0"/>
                <w:bCs w:val="0"/>
                <w:color w:val="auto"/>
                <w:kern w:val="0"/>
                <w:sz w:val="24"/>
                <w:highlight w:val="none"/>
              </w:rPr>
            </w:pPr>
            <w:r>
              <w:rPr>
                <w:rFonts w:ascii="宋体" w:hAnsi="宋体" w:cs="宋体"/>
                <w:b w:val="0"/>
                <w:bCs w:val="0"/>
                <w:color w:val="auto"/>
                <w:kern w:val="0"/>
                <w:sz w:val="24"/>
                <w:highlight w:val="none"/>
              </w:rPr>
              <w:t>合同包</w:t>
            </w:r>
          </w:p>
        </w:tc>
        <w:tc>
          <w:tcPr>
            <w:tcW w:w="2300" w:type="dxa"/>
            <w:tcBorders>
              <w:top w:val="single" w:color="666666" w:sz="6" w:space="0"/>
              <w:left w:val="single" w:color="666666" w:sz="6" w:space="0"/>
              <w:bottom w:val="single" w:color="666666" w:sz="6" w:space="0"/>
              <w:right w:val="single" w:color="666666" w:sz="6" w:space="0"/>
            </w:tcBorders>
            <w:shd w:val="clear" w:color="auto" w:fill="FFFFFF"/>
            <w:vAlign w:val="center"/>
          </w:tcPr>
          <w:p w14:paraId="21810381">
            <w:pPr>
              <w:widowControl/>
              <w:jc w:val="center"/>
              <w:rPr>
                <w:rFonts w:ascii="宋体" w:hAnsi="宋体" w:cs="宋体"/>
                <w:b w:val="0"/>
                <w:bCs w:val="0"/>
                <w:color w:val="auto"/>
                <w:kern w:val="0"/>
                <w:sz w:val="24"/>
                <w:highlight w:val="none"/>
              </w:rPr>
            </w:pPr>
            <w:r>
              <w:rPr>
                <w:rFonts w:ascii="宋体" w:hAnsi="宋体" w:cs="宋体"/>
                <w:b w:val="0"/>
                <w:bCs w:val="0"/>
                <w:color w:val="auto"/>
                <w:kern w:val="0"/>
                <w:sz w:val="24"/>
                <w:highlight w:val="none"/>
              </w:rPr>
              <w:t>采购标的</w:t>
            </w:r>
          </w:p>
        </w:tc>
        <w:tc>
          <w:tcPr>
            <w:tcW w:w="738" w:type="dxa"/>
            <w:tcBorders>
              <w:top w:val="single" w:color="666666" w:sz="6" w:space="0"/>
              <w:left w:val="single" w:color="666666" w:sz="6" w:space="0"/>
              <w:bottom w:val="single" w:color="666666" w:sz="6" w:space="0"/>
              <w:right w:val="single" w:color="666666" w:sz="6" w:space="0"/>
            </w:tcBorders>
            <w:shd w:val="clear" w:color="auto" w:fill="FFFFFF"/>
            <w:vAlign w:val="center"/>
          </w:tcPr>
          <w:p w14:paraId="24E9E109">
            <w:pPr>
              <w:widowControl/>
              <w:jc w:val="center"/>
              <w:rPr>
                <w:rFonts w:hint="eastAsia" w:ascii="宋体" w:hAnsi="宋体" w:eastAsia="宋体" w:cs="宋体"/>
                <w:b w:val="0"/>
                <w:bCs w:val="0"/>
                <w:color w:val="auto"/>
                <w:kern w:val="0"/>
                <w:sz w:val="24"/>
                <w:highlight w:val="none"/>
                <w:lang w:eastAsia="zh-CN"/>
              </w:rPr>
            </w:pPr>
            <w:r>
              <w:rPr>
                <w:rFonts w:hint="eastAsia" w:ascii="宋体" w:hAnsi="宋体" w:cs="宋体"/>
                <w:b w:val="0"/>
                <w:bCs w:val="0"/>
                <w:color w:val="auto"/>
                <w:kern w:val="0"/>
                <w:sz w:val="24"/>
                <w:highlight w:val="none"/>
                <w:lang w:val="en-US" w:eastAsia="zh-CN"/>
              </w:rPr>
              <w:t>数量</w:t>
            </w:r>
          </w:p>
        </w:tc>
        <w:tc>
          <w:tcPr>
            <w:tcW w:w="1309" w:type="dxa"/>
            <w:tcBorders>
              <w:top w:val="single" w:color="666666" w:sz="6" w:space="0"/>
              <w:left w:val="single" w:color="666666" w:sz="6" w:space="0"/>
              <w:bottom w:val="single" w:color="666666" w:sz="6" w:space="0"/>
              <w:right w:val="single" w:color="666666" w:sz="6" w:space="0"/>
            </w:tcBorders>
            <w:shd w:val="clear" w:color="auto" w:fill="FFFFFF"/>
            <w:vAlign w:val="center"/>
          </w:tcPr>
          <w:p w14:paraId="272118DB">
            <w:pPr>
              <w:widowControl/>
              <w:jc w:val="center"/>
              <w:rPr>
                <w:rFonts w:hint="default" w:ascii="宋体" w:hAnsi="宋体" w:eastAsia="宋体" w:cs="宋体"/>
                <w:b w:val="0"/>
                <w:bCs w:val="0"/>
                <w:color w:val="auto"/>
                <w:kern w:val="0"/>
                <w:sz w:val="24"/>
                <w:highlight w:val="none"/>
                <w:lang w:val="en-US" w:eastAsia="zh-CN"/>
              </w:rPr>
            </w:pPr>
            <w:r>
              <w:rPr>
                <w:rFonts w:hint="eastAsia" w:ascii="宋体" w:hAnsi="宋体" w:cs="宋体"/>
                <w:b w:val="0"/>
                <w:bCs w:val="0"/>
                <w:color w:val="auto"/>
                <w:kern w:val="0"/>
                <w:sz w:val="24"/>
                <w:highlight w:val="none"/>
                <w:lang w:val="en-US" w:eastAsia="zh-CN"/>
              </w:rPr>
              <w:t>预算金额（元）</w:t>
            </w:r>
          </w:p>
        </w:tc>
        <w:tc>
          <w:tcPr>
            <w:tcW w:w="945" w:type="dxa"/>
            <w:tcBorders>
              <w:top w:val="single" w:color="666666" w:sz="6" w:space="0"/>
              <w:left w:val="single" w:color="666666" w:sz="6" w:space="0"/>
              <w:bottom w:val="single" w:color="666666" w:sz="6" w:space="0"/>
              <w:right w:val="single" w:color="666666" w:sz="6" w:space="0"/>
            </w:tcBorders>
            <w:shd w:val="clear" w:color="auto" w:fill="FFFFFF"/>
            <w:vAlign w:val="center"/>
          </w:tcPr>
          <w:p w14:paraId="6924E3DE">
            <w:pPr>
              <w:widowControl/>
              <w:jc w:val="center"/>
              <w:rPr>
                <w:rFonts w:hint="eastAsia" w:ascii="宋体" w:hAnsi="宋体" w:cs="宋体"/>
                <w:b w:val="0"/>
                <w:bCs w:val="0"/>
                <w:color w:val="auto"/>
                <w:kern w:val="0"/>
                <w:sz w:val="24"/>
                <w:highlight w:val="none"/>
                <w:lang w:val="en-US" w:eastAsia="zh-CN"/>
              </w:rPr>
            </w:pPr>
            <w:r>
              <w:rPr>
                <w:rFonts w:ascii="宋体" w:hAnsi="宋体" w:eastAsia="宋体" w:cs="宋体"/>
                <w:b w:val="0"/>
                <w:bCs w:val="0"/>
                <w:color w:val="auto"/>
                <w:kern w:val="0"/>
                <w:sz w:val="24"/>
                <w:szCs w:val="24"/>
                <w:highlight w:val="none"/>
                <w:lang w:val="en-US" w:eastAsia="zh-CN"/>
              </w:rPr>
              <w:t>是否允许进口产品</w:t>
            </w:r>
          </w:p>
        </w:tc>
        <w:tc>
          <w:tcPr>
            <w:tcW w:w="1155" w:type="dxa"/>
            <w:tcBorders>
              <w:top w:val="single" w:color="666666" w:sz="6" w:space="0"/>
              <w:left w:val="single" w:color="666666" w:sz="6" w:space="0"/>
              <w:bottom w:val="single" w:color="666666" w:sz="6" w:space="0"/>
              <w:right w:val="single" w:color="666666" w:sz="6" w:space="0"/>
            </w:tcBorders>
            <w:shd w:val="clear" w:color="auto" w:fill="FFFFFF"/>
            <w:vAlign w:val="center"/>
          </w:tcPr>
          <w:p w14:paraId="63FCFA08">
            <w:pPr>
              <w:widowControl/>
              <w:jc w:val="center"/>
              <w:rPr>
                <w:rFonts w:hint="default" w:ascii="宋体" w:hAnsi="宋体" w:eastAsia="宋体" w:cs="宋体"/>
                <w:b w:val="0"/>
                <w:bCs w:val="0"/>
                <w:color w:val="auto"/>
                <w:kern w:val="0"/>
                <w:sz w:val="24"/>
                <w:highlight w:val="none"/>
                <w:lang w:val="en-US" w:eastAsia="zh-CN"/>
              </w:rPr>
            </w:pPr>
            <w:r>
              <w:rPr>
                <w:rFonts w:hint="eastAsia" w:ascii="宋体" w:hAnsi="宋体" w:cs="宋体"/>
                <w:b w:val="0"/>
                <w:bCs w:val="0"/>
                <w:color w:val="auto"/>
                <w:kern w:val="0"/>
                <w:sz w:val="24"/>
                <w:highlight w:val="none"/>
                <w:lang w:val="en-US" w:eastAsia="zh-CN"/>
              </w:rPr>
              <w:t>所属行业</w:t>
            </w:r>
          </w:p>
        </w:tc>
        <w:tc>
          <w:tcPr>
            <w:tcW w:w="1479" w:type="dxa"/>
            <w:tcBorders>
              <w:top w:val="single" w:color="666666" w:sz="6" w:space="0"/>
              <w:left w:val="single" w:color="666666" w:sz="6" w:space="0"/>
              <w:bottom w:val="single" w:color="666666" w:sz="6" w:space="0"/>
              <w:right w:val="single" w:color="666666" w:sz="6" w:space="0"/>
            </w:tcBorders>
            <w:shd w:val="clear" w:color="auto" w:fill="FFFFFF"/>
            <w:vAlign w:val="center"/>
          </w:tcPr>
          <w:p w14:paraId="2D354455">
            <w:pPr>
              <w:widowControl/>
              <w:jc w:val="center"/>
              <w:rPr>
                <w:rFonts w:ascii="宋体" w:hAnsi="宋体" w:cs="宋体"/>
                <w:b w:val="0"/>
                <w:bCs w:val="0"/>
                <w:color w:val="auto"/>
                <w:kern w:val="0"/>
                <w:sz w:val="24"/>
                <w:highlight w:val="none"/>
              </w:rPr>
            </w:pPr>
            <w:r>
              <w:rPr>
                <w:rFonts w:hint="eastAsia" w:ascii="宋体" w:hAnsi="宋体" w:cs="宋体"/>
                <w:b w:val="0"/>
                <w:bCs w:val="0"/>
                <w:color w:val="auto"/>
                <w:kern w:val="0"/>
                <w:sz w:val="24"/>
                <w:highlight w:val="none"/>
              </w:rPr>
              <w:t>投标</w:t>
            </w:r>
            <w:r>
              <w:rPr>
                <w:rFonts w:ascii="宋体" w:hAnsi="宋体" w:cs="宋体"/>
                <w:b w:val="0"/>
                <w:bCs w:val="0"/>
                <w:color w:val="auto"/>
                <w:kern w:val="0"/>
                <w:sz w:val="24"/>
                <w:highlight w:val="none"/>
              </w:rPr>
              <w:t>保证金</w:t>
            </w:r>
          </w:p>
        </w:tc>
      </w:tr>
      <w:tr w14:paraId="252C7908">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0" w:type="dxa"/>
            <w:left w:w="0" w:type="dxa"/>
            <w:bottom w:w="0" w:type="dxa"/>
            <w:right w:w="0" w:type="dxa"/>
          </w:tblCellMar>
        </w:tblPrEx>
        <w:trPr>
          <w:trHeight w:val="1496" w:hRule="atLeast"/>
          <w:tblHeader/>
          <w:jc w:val="center"/>
        </w:trPr>
        <w:tc>
          <w:tcPr>
            <w:tcW w:w="1019" w:type="dxa"/>
            <w:tcBorders>
              <w:top w:val="single" w:color="666666" w:sz="6" w:space="0"/>
              <w:left w:val="single" w:color="666666" w:sz="6" w:space="0"/>
              <w:right w:val="single" w:color="666666" w:sz="6" w:space="0"/>
            </w:tcBorders>
            <w:shd w:val="clear" w:color="auto" w:fill="FFFFFF"/>
            <w:vAlign w:val="center"/>
          </w:tcPr>
          <w:p w14:paraId="0C60B89B">
            <w:pPr>
              <w:jc w:val="center"/>
              <w:rPr>
                <w:rFonts w:ascii="宋体" w:hAnsi="宋体" w:cs="宋体"/>
                <w:b w:val="0"/>
                <w:bCs w:val="0"/>
                <w:color w:val="auto"/>
                <w:kern w:val="0"/>
                <w:sz w:val="24"/>
                <w:highlight w:val="none"/>
              </w:rPr>
            </w:pPr>
            <w:r>
              <w:rPr>
                <w:rFonts w:hint="eastAsia" w:ascii="宋体" w:hAnsi="宋体" w:cs="宋体"/>
                <w:b w:val="0"/>
                <w:bCs w:val="0"/>
                <w:color w:val="auto"/>
                <w:kern w:val="0"/>
                <w:sz w:val="24"/>
                <w:highlight w:val="none"/>
              </w:rPr>
              <w:t>1</w:t>
            </w:r>
          </w:p>
        </w:tc>
        <w:tc>
          <w:tcPr>
            <w:tcW w:w="2300" w:type="dxa"/>
            <w:tcBorders>
              <w:top w:val="single" w:color="666666" w:sz="6" w:space="0"/>
              <w:left w:val="single" w:color="666666" w:sz="6" w:space="0"/>
              <w:right w:val="single" w:color="666666" w:sz="6" w:space="0"/>
            </w:tcBorders>
            <w:shd w:val="clear" w:color="auto" w:fill="FFFFFF"/>
            <w:vAlign w:val="center"/>
          </w:tcPr>
          <w:p w14:paraId="11605F4E">
            <w:pPr>
              <w:widowControl/>
              <w:jc w:val="center"/>
              <w:rPr>
                <w:rFonts w:hint="eastAsia" w:ascii="宋体" w:hAnsi="宋体" w:eastAsia="宋体" w:cs="宋体"/>
                <w:b w:val="0"/>
                <w:bCs w:val="0"/>
                <w:color w:val="auto"/>
                <w:kern w:val="0"/>
                <w:sz w:val="24"/>
                <w:highlight w:val="none"/>
                <w:lang w:eastAsia="zh-CN"/>
              </w:rPr>
            </w:pPr>
            <w:r>
              <w:rPr>
                <w:rFonts w:hint="eastAsia" w:ascii="宋体" w:hAnsi="宋体" w:cs="宋体"/>
                <w:b w:val="0"/>
                <w:bCs w:val="0"/>
                <w:color w:val="auto"/>
                <w:kern w:val="0"/>
                <w:sz w:val="24"/>
                <w:highlight w:val="none"/>
                <w:lang w:eastAsia="zh-CN"/>
              </w:rPr>
              <w:t>南安市医院2026年度工作服床上用品采购项目</w:t>
            </w:r>
          </w:p>
        </w:tc>
        <w:tc>
          <w:tcPr>
            <w:tcW w:w="738" w:type="dxa"/>
            <w:tcBorders>
              <w:top w:val="single" w:color="666666" w:sz="6" w:space="0"/>
              <w:left w:val="single" w:color="666666" w:sz="6" w:space="0"/>
              <w:right w:val="single" w:color="666666" w:sz="6" w:space="0"/>
            </w:tcBorders>
            <w:shd w:val="clear" w:color="auto" w:fill="FFFFFF"/>
            <w:vAlign w:val="center"/>
          </w:tcPr>
          <w:p w14:paraId="07BF2347">
            <w:pPr>
              <w:widowControl/>
              <w:jc w:val="center"/>
              <w:rPr>
                <w:rFonts w:hint="default" w:ascii="宋体" w:hAnsi="宋体" w:cs="宋体"/>
                <w:b w:val="0"/>
                <w:bCs w:val="0"/>
                <w:color w:val="auto"/>
                <w:kern w:val="0"/>
                <w:sz w:val="24"/>
                <w:highlight w:val="none"/>
                <w:lang w:val="en-US"/>
              </w:rPr>
            </w:pPr>
            <w:r>
              <w:rPr>
                <w:rFonts w:hint="eastAsia" w:ascii="宋体" w:hAnsi="宋体" w:cs="宋体"/>
                <w:b w:val="0"/>
                <w:bCs w:val="0"/>
                <w:color w:val="auto"/>
                <w:kern w:val="0"/>
                <w:sz w:val="24"/>
                <w:highlight w:val="none"/>
                <w:lang w:val="en-US" w:eastAsia="zh-CN"/>
              </w:rPr>
              <w:t>1（批）</w:t>
            </w:r>
          </w:p>
        </w:tc>
        <w:tc>
          <w:tcPr>
            <w:tcW w:w="1309" w:type="dxa"/>
            <w:tcBorders>
              <w:top w:val="single" w:color="666666" w:sz="6" w:space="0"/>
              <w:left w:val="single" w:color="666666" w:sz="6" w:space="0"/>
              <w:right w:val="single" w:color="666666" w:sz="6" w:space="0"/>
            </w:tcBorders>
            <w:shd w:val="clear" w:color="auto" w:fill="FFFFFF"/>
            <w:vAlign w:val="center"/>
          </w:tcPr>
          <w:p w14:paraId="281F94C4">
            <w:pPr>
              <w:tabs>
                <w:tab w:val="left" w:pos="382"/>
              </w:tabs>
              <w:jc w:val="center"/>
              <w:rPr>
                <w:rFonts w:hint="default" w:ascii="宋体" w:hAnsi="宋体" w:cs="宋体"/>
                <w:b w:val="0"/>
                <w:bCs w:val="0"/>
                <w:color w:val="auto"/>
                <w:kern w:val="0"/>
                <w:sz w:val="24"/>
                <w:highlight w:val="none"/>
                <w:lang w:val="en-US" w:eastAsia="zh-CN"/>
              </w:rPr>
            </w:pPr>
            <w:r>
              <w:rPr>
                <w:rFonts w:hint="eastAsia" w:ascii="宋体" w:hAnsi="宋体" w:cs="宋体"/>
                <w:b w:val="0"/>
                <w:bCs w:val="0"/>
                <w:color w:val="auto"/>
                <w:kern w:val="0"/>
                <w:sz w:val="24"/>
                <w:highlight w:val="none"/>
                <w:lang w:val="en-US" w:eastAsia="zh-CN"/>
              </w:rPr>
              <w:t xml:space="preserve">330000.00 </w:t>
            </w:r>
          </w:p>
        </w:tc>
        <w:tc>
          <w:tcPr>
            <w:tcW w:w="945" w:type="dxa"/>
            <w:tcBorders>
              <w:top w:val="single" w:color="666666" w:sz="6" w:space="0"/>
              <w:left w:val="single" w:color="666666" w:sz="6" w:space="0"/>
              <w:right w:val="single" w:color="666666" w:sz="6" w:space="0"/>
            </w:tcBorders>
            <w:shd w:val="clear" w:color="auto" w:fill="FFFFFF"/>
            <w:vAlign w:val="center"/>
          </w:tcPr>
          <w:p w14:paraId="35FB5D61">
            <w:pPr>
              <w:widowControl/>
              <w:jc w:val="center"/>
              <w:rPr>
                <w:rFonts w:hint="eastAsia" w:ascii="宋体" w:hAnsi="宋体" w:eastAsia="宋体" w:cs="宋体"/>
                <w:b w:val="0"/>
                <w:bCs w:val="0"/>
                <w:color w:val="auto"/>
                <w:kern w:val="0"/>
                <w:sz w:val="24"/>
                <w:szCs w:val="24"/>
                <w:highlight w:val="none"/>
                <w:lang w:val="en-US" w:eastAsia="zh-CN"/>
              </w:rPr>
            </w:pPr>
            <w:r>
              <w:rPr>
                <w:rFonts w:ascii="宋体" w:hAnsi="宋体" w:eastAsia="宋体" w:cs="宋体"/>
                <w:b w:val="0"/>
                <w:bCs w:val="0"/>
                <w:color w:val="auto"/>
                <w:kern w:val="0"/>
                <w:sz w:val="24"/>
                <w:szCs w:val="24"/>
                <w:highlight w:val="none"/>
                <w:lang w:val="en-US" w:eastAsia="zh-CN"/>
              </w:rPr>
              <w:t>否</w:t>
            </w:r>
          </w:p>
        </w:tc>
        <w:tc>
          <w:tcPr>
            <w:tcW w:w="1155" w:type="dxa"/>
            <w:tcBorders>
              <w:top w:val="single" w:color="666666" w:sz="6" w:space="0"/>
              <w:left w:val="single" w:color="666666" w:sz="6" w:space="0"/>
              <w:right w:val="single" w:color="666666" w:sz="6" w:space="0"/>
            </w:tcBorders>
            <w:shd w:val="clear" w:color="auto" w:fill="FFFFFF"/>
            <w:vAlign w:val="center"/>
          </w:tcPr>
          <w:p w14:paraId="32CB5BC8">
            <w:pPr>
              <w:tabs>
                <w:tab w:val="left" w:pos="382"/>
              </w:tabs>
              <w:jc w:val="center"/>
              <w:rPr>
                <w:rFonts w:hint="eastAsia" w:ascii="宋体" w:hAnsi="宋体" w:cs="宋体"/>
                <w:b w:val="0"/>
                <w:bCs w:val="0"/>
                <w:color w:val="auto"/>
                <w:kern w:val="0"/>
                <w:sz w:val="24"/>
                <w:highlight w:val="none"/>
                <w:lang w:val="en-US" w:eastAsia="zh-CN"/>
              </w:rPr>
            </w:pPr>
            <w:r>
              <w:rPr>
                <w:rFonts w:hint="eastAsia" w:ascii="宋体" w:hAnsi="宋体" w:cs="宋体"/>
                <w:b w:val="0"/>
                <w:bCs w:val="0"/>
                <w:color w:val="auto"/>
                <w:kern w:val="0"/>
                <w:sz w:val="24"/>
                <w:szCs w:val="24"/>
                <w:highlight w:val="none"/>
                <w:lang w:val="en-US" w:eastAsia="zh-CN"/>
              </w:rPr>
              <w:t>工业</w:t>
            </w:r>
          </w:p>
        </w:tc>
        <w:tc>
          <w:tcPr>
            <w:tcW w:w="1479" w:type="dxa"/>
            <w:tcBorders>
              <w:top w:val="single" w:color="666666" w:sz="6" w:space="0"/>
              <w:left w:val="single" w:color="666666" w:sz="6" w:space="0"/>
              <w:right w:val="single" w:color="666666" w:sz="6" w:space="0"/>
            </w:tcBorders>
            <w:shd w:val="clear" w:color="auto" w:fill="FFFFFF"/>
            <w:vAlign w:val="center"/>
          </w:tcPr>
          <w:p w14:paraId="19FFC498">
            <w:pPr>
              <w:tabs>
                <w:tab w:val="left" w:pos="382"/>
              </w:tabs>
              <w:jc w:val="center"/>
              <w:rPr>
                <w:rFonts w:hint="default" w:ascii="宋体" w:hAnsi="宋体" w:eastAsia="宋体" w:cs="宋体"/>
                <w:b w:val="0"/>
                <w:bCs w:val="0"/>
                <w:color w:val="auto"/>
                <w:kern w:val="0"/>
                <w:sz w:val="24"/>
                <w:highlight w:val="none"/>
                <w:lang w:val="en-US" w:eastAsia="zh-CN"/>
              </w:rPr>
            </w:pPr>
            <w:r>
              <w:rPr>
                <w:rFonts w:hint="eastAsia" w:ascii="宋体" w:hAnsi="宋体" w:cs="宋体"/>
                <w:b w:val="0"/>
                <w:bCs w:val="0"/>
                <w:color w:val="auto"/>
                <w:kern w:val="0"/>
                <w:sz w:val="24"/>
                <w:highlight w:val="none"/>
                <w:lang w:val="en-US" w:eastAsia="zh-CN"/>
              </w:rPr>
              <w:t xml:space="preserve"> 6600.00</w:t>
            </w:r>
          </w:p>
        </w:tc>
      </w:tr>
    </w:tbl>
    <w:p w14:paraId="49DE78CF">
      <w:pPr>
        <w:widowControl/>
        <w:jc w:val="left"/>
        <w:rPr>
          <w:rStyle w:val="7"/>
          <w:rFonts w:ascii="宋体" w:hAnsi="宋体" w:cs="宋体"/>
          <w:color w:val="auto"/>
          <w:kern w:val="0"/>
          <w:sz w:val="31"/>
          <w:szCs w:val="31"/>
        </w:rPr>
      </w:pPr>
    </w:p>
    <w:p w14:paraId="161F3812"/>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0733193"/>
    <w:rsid w:val="40733193"/>
    <w:rsid w:val="516A38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First Indent"/>
    <w:basedOn w:val="3"/>
    <w:qFormat/>
    <w:uiPriority w:val="0"/>
    <w:pPr>
      <w:spacing w:before="0" w:after="120"/>
      <w:ind w:left="0" w:firstLine="420" w:firstLineChars="100"/>
    </w:pPr>
    <w:rPr>
      <w:rFonts w:ascii="Verdana" w:hAnsi="Verdana"/>
      <w:sz w:val="21"/>
      <w:szCs w:val="21"/>
      <w:lang w:eastAsia="zh-CN"/>
    </w:rPr>
  </w:style>
  <w:style w:type="paragraph" w:styleId="3">
    <w:name w:val="Body Text"/>
    <w:basedOn w:val="1"/>
    <w:next w:val="1"/>
    <w:qFormat/>
    <w:uiPriority w:val="99"/>
    <w:pPr>
      <w:spacing w:after="120"/>
    </w:pPr>
  </w:style>
  <w:style w:type="paragraph" w:styleId="4">
    <w:name w:val="Normal (Web)"/>
    <w:basedOn w:val="1"/>
    <w:qFormat/>
    <w:uiPriority w:val="99"/>
    <w:pPr>
      <w:spacing w:beforeAutospacing="1" w:afterAutospacing="1"/>
      <w:jc w:val="left"/>
    </w:pPr>
    <w:rPr>
      <w:kern w:val="0"/>
      <w:sz w:val="24"/>
    </w:rPr>
  </w:style>
  <w:style w:type="character" w:styleId="7">
    <w:name w:val="Strong"/>
    <w:basedOn w:val="6"/>
    <w:qFormat/>
    <w:uiPriority w:val="0"/>
    <w:rPr>
      <w:b/>
    </w:rPr>
  </w:style>
  <w:style w:type="paragraph" w:customStyle="1" w:styleId="8">
    <w:name w:val="null3"/>
    <w:hidden/>
    <w:qFormat/>
    <w:uiPriority w:val="0"/>
    <w:rPr>
      <w:rFonts w:hint="eastAsia" w:ascii="Calibri" w:hAnsi="Calibri" w:eastAsia="宋体" w:cs="黑体"/>
      <w:kern w:val="0"/>
      <w:sz w:val="20"/>
      <w:szCs w:val="20"/>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1</TotalTime>
  <ScaleCrop>false</ScaleCrop>
  <LinksUpToDate>false</LinksUpToDate>
  <CharactersWithSpaces>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2026-02-24T02:53:00Z</dcterms:created>
  <dc:creator>San.</dc:creator>
  <cp:lastModifiedBy>San.</cp:lastModifiedBy>
  <dcterms:modified xsi:type="dcterms:W3CDTF">2026-02-24T02:56:33Z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FAF378D8FF6C4118A4BCE74AB2197834_11</vt:lpwstr>
  </property>
  <property fmtid="{D5CDD505-2E9C-101B-9397-08002B2CF9AE}" pid="4" name="KSOTemplateDocerSaveRecord">
    <vt:lpwstr>eyJoZGlkIjoiYTk5MGZjNTQyNzcxYTIyNWRhMDkwNTFmMjNjNmNlODUiLCJ1c2VySWQiOiIzODM1Nzg1MzAifQ==</vt:lpwstr>
  </property>
</Properties>
</file>